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A5" w:rsidRPr="00B57D6E" w:rsidRDefault="00F03D1B" w:rsidP="005A0CA5">
      <w:pPr>
        <w:widowControl w:val="0"/>
        <w:spacing w:after="360" w:line="360" w:lineRule="auto"/>
        <w:ind w:firstLine="709"/>
        <w:jc w:val="center"/>
        <w:rPr>
          <w:rStyle w:val="a3"/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 </w:t>
      </w:r>
      <w:r w:rsidR="005A0CA5" w:rsidRPr="009F073C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Комментарии к консолидированной финансовой отчетности </w:t>
      </w:r>
      <w:r w:rsidR="0010237B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Г</w:t>
      </w:r>
      <w:r w:rsidR="00240D64" w:rsidRPr="009F073C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осударственного </w:t>
      </w:r>
      <w:r w:rsidR="005A0CA5"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унитарного предприятия «Жилищно-коммунальное хозяйство Республики Саха (Якутия)» по итогам </w:t>
      </w:r>
      <w:r w:rsidR="003C6660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1 полугодия </w:t>
      </w:r>
      <w:r w:rsidR="009F073C"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202</w:t>
      </w:r>
      <w:r w:rsidR="003C6660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>2</w:t>
      </w:r>
      <w:r w:rsidR="009F073C" w:rsidRPr="00B57D6E">
        <w:rPr>
          <w:rStyle w:val="a3"/>
          <w:rFonts w:ascii="Times New Roman" w:hAnsi="Times New Roman" w:cs="Times New Roman"/>
          <w:b/>
          <w:i w:val="0"/>
          <w:color w:val="222222"/>
          <w:sz w:val="24"/>
          <w:szCs w:val="28"/>
          <w:shd w:val="clear" w:color="auto" w:fill="FFFFFF"/>
        </w:rPr>
        <w:t xml:space="preserve"> года</w:t>
      </w:r>
    </w:p>
    <w:p w:rsidR="005A0CA5" w:rsidRPr="004D67EA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>ГУП «ЖКХ РС (Я)» оказывает услуги теплоснабжения, водоснабжения, водоотведения, эксплуатации жилищного фонда и обращения с твердыми коммунальными отходами. Предприятие занимает лидирующее положение на рынке коммунальных услуг республики по территориальному присутствию, количеству обслуживаемых источников теплогенерации, охвату теплоснабжением бюджетных учреждений.</w:t>
      </w:r>
    </w:p>
    <w:p w:rsidR="005A0CA5" w:rsidRPr="004D67EA" w:rsidRDefault="005A0CA5" w:rsidP="00484D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 xml:space="preserve">ГУП </w:t>
      </w:r>
      <w:r w:rsidR="0010237B">
        <w:rPr>
          <w:rFonts w:ascii="Times New Roman" w:hAnsi="Times New Roman" w:cs="Times New Roman"/>
          <w:i/>
          <w:sz w:val="24"/>
          <w:szCs w:val="24"/>
        </w:rPr>
        <w:t xml:space="preserve">«ЖКХ РС (Я)» 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обеспечивает </w:t>
      </w:r>
      <w:bookmarkStart w:id="0" w:name="_GoBack"/>
      <w:bookmarkEnd w:id="0"/>
      <w:r w:rsidRPr="004D67EA">
        <w:rPr>
          <w:rFonts w:ascii="Times New Roman" w:hAnsi="Times New Roman" w:cs="Times New Roman"/>
          <w:i/>
          <w:sz w:val="24"/>
          <w:szCs w:val="24"/>
        </w:rPr>
        <w:t>теплоснабжением 74% территории Республики Саха (Якутия), предоставляет жилищно-коммунальные услуги в 2</w:t>
      </w:r>
      <w:r w:rsidR="009F073C" w:rsidRPr="004D67EA">
        <w:rPr>
          <w:rFonts w:ascii="Times New Roman" w:hAnsi="Times New Roman" w:cs="Times New Roman"/>
          <w:i/>
          <w:sz w:val="24"/>
          <w:szCs w:val="24"/>
        </w:rPr>
        <w:t>8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 муниципальных районах (из них 12 арктических</w:t>
      </w:r>
      <w:r w:rsidR="00782926" w:rsidRPr="004D67EA">
        <w:rPr>
          <w:rFonts w:ascii="Times New Roman" w:hAnsi="Times New Roman" w:cs="Times New Roman"/>
          <w:i/>
          <w:sz w:val="24"/>
          <w:szCs w:val="24"/>
        </w:rPr>
        <w:t xml:space="preserve">), а также в ГО </w:t>
      </w:r>
      <w:r w:rsidR="005A5CF9">
        <w:rPr>
          <w:rFonts w:ascii="Times New Roman" w:hAnsi="Times New Roman" w:cs="Times New Roman"/>
          <w:i/>
          <w:sz w:val="24"/>
          <w:szCs w:val="24"/>
        </w:rPr>
        <w:t>«</w:t>
      </w:r>
      <w:r w:rsidR="00782926" w:rsidRPr="004D67EA">
        <w:rPr>
          <w:rFonts w:ascii="Times New Roman" w:hAnsi="Times New Roman" w:cs="Times New Roman"/>
          <w:i/>
          <w:sz w:val="24"/>
          <w:szCs w:val="24"/>
        </w:rPr>
        <w:t>Город Якутск</w:t>
      </w:r>
      <w:r w:rsidR="005A5CF9">
        <w:rPr>
          <w:rFonts w:ascii="Times New Roman" w:hAnsi="Times New Roman" w:cs="Times New Roman"/>
          <w:i/>
          <w:sz w:val="24"/>
          <w:szCs w:val="24"/>
        </w:rPr>
        <w:t>»</w:t>
      </w:r>
      <w:r w:rsidR="00782926" w:rsidRPr="004D67EA">
        <w:rPr>
          <w:rFonts w:ascii="Times New Roman" w:hAnsi="Times New Roman" w:cs="Times New Roman"/>
          <w:i/>
          <w:sz w:val="24"/>
          <w:szCs w:val="24"/>
        </w:rPr>
        <w:t>.</w:t>
      </w:r>
    </w:p>
    <w:p w:rsidR="005A0CA5" w:rsidRDefault="005A0CA5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>Предприятие обслуживает 22 процента населения республики, которое проживает в отапливаемом жилищном фонде, в том числе: теплоснабжение – 130,4 тыс. человек, горячее водоснабжение – 96,1 тыс. человек, холодное водоснабжение - 41,9 тыс. человек, водоотведение – 14,5 тыс. человек.</w:t>
      </w:r>
    </w:p>
    <w:p w:rsidR="006B3283" w:rsidRPr="006B3283" w:rsidRDefault="006B3283" w:rsidP="00543A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3283">
        <w:rPr>
          <w:rFonts w:ascii="Times New Roman" w:hAnsi="Times New Roman" w:cs="Times New Roman"/>
          <w:b/>
          <w:i/>
          <w:sz w:val="24"/>
          <w:szCs w:val="24"/>
        </w:rPr>
        <w:t xml:space="preserve">Финансовые результаты деятельности </w:t>
      </w:r>
    </w:p>
    <w:p w:rsidR="00070B9B" w:rsidRDefault="004F10EA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По результатам обзорной проверки промежуточной консолидированной финансовой отчетности (далее – МСФО)</w:t>
      </w:r>
      <w:r w:rsidRPr="004D67EA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о итогам </w:t>
      </w:r>
      <w:r w:rsidR="00F3592E">
        <w:rPr>
          <w:rFonts w:ascii="Times New Roman" w:hAnsi="Times New Roman" w:cs="Times New Roman"/>
          <w:i/>
          <w:sz w:val="24"/>
          <w:szCs w:val="24"/>
        </w:rPr>
        <w:t xml:space="preserve">1 полугодия 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>20</w:t>
      </w:r>
      <w:r w:rsidR="009F073C" w:rsidRPr="004D67EA">
        <w:rPr>
          <w:rFonts w:ascii="Times New Roman" w:hAnsi="Times New Roman" w:cs="Times New Roman"/>
          <w:i/>
          <w:sz w:val="24"/>
          <w:szCs w:val="24"/>
        </w:rPr>
        <w:t>2</w:t>
      </w:r>
      <w:r w:rsidR="00F3592E">
        <w:rPr>
          <w:rFonts w:ascii="Times New Roman" w:hAnsi="Times New Roman" w:cs="Times New Roman"/>
          <w:i/>
          <w:sz w:val="24"/>
          <w:szCs w:val="24"/>
        </w:rPr>
        <w:t>2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года выручка составила </w:t>
      </w:r>
      <w:r w:rsidR="00406ED1">
        <w:rPr>
          <w:rFonts w:ascii="Times New Roman" w:hAnsi="Times New Roman" w:cs="Times New Roman"/>
          <w:i/>
          <w:sz w:val="24"/>
          <w:szCs w:val="24"/>
        </w:rPr>
        <w:t>12 237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рублей, показав </w:t>
      </w:r>
      <w:r w:rsidR="009F073C" w:rsidRPr="004D67EA">
        <w:rPr>
          <w:rFonts w:ascii="Times New Roman" w:hAnsi="Times New Roman" w:cs="Times New Roman"/>
          <w:i/>
          <w:sz w:val="24"/>
          <w:szCs w:val="24"/>
        </w:rPr>
        <w:t>рост</w:t>
      </w:r>
      <w:r w:rsidR="00C40A10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38F" w:rsidRPr="004D67EA">
        <w:rPr>
          <w:rFonts w:ascii="Times New Roman" w:hAnsi="Times New Roman" w:cs="Times New Roman"/>
          <w:i/>
          <w:sz w:val="24"/>
          <w:szCs w:val="24"/>
        </w:rPr>
        <w:t xml:space="preserve">в размере </w:t>
      </w:r>
      <w:r w:rsidR="00E52CA5">
        <w:rPr>
          <w:rFonts w:ascii="Times New Roman" w:hAnsi="Times New Roman" w:cs="Times New Roman"/>
          <w:i/>
          <w:sz w:val="24"/>
          <w:szCs w:val="24"/>
        </w:rPr>
        <w:t>43</w:t>
      </w:r>
      <w:r w:rsidR="00A3538F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r w:rsidR="00E52CA5">
        <w:rPr>
          <w:rFonts w:ascii="Times New Roman" w:hAnsi="Times New Roman" w:cs="Times New Roman"/>
          <w:i/>
          <w:sz w:val="24"/>
          <w:szCs w:val="24"/>
        </w:rPr>
        <w:t xml:space="preserve"> рублей или 0,4</w:t>
      </w:r>
      <w:r w:rsidR="00A3538F" w:rsidRPr="004D67EA">
        <w:rPr>
          <w:rFonts w:ascii="Times New Roman" w:hAnsi="Times New Roman" w:cs="Times New Roman"/>
          <w:i/>
          <w:sz w:val="24"/>
          <w:szCs w:val="24"/>
        </w:rPr>
        <w:t>% по ср</w:t>
      </w:r>
      <w:r w:rsidR="00414DF9" w:rsidRPr="004D67EA">
        <w:rPr>
          <w:rFonts w:ascii="Times New Roman" w:hAnsi="Times New Roman" w:cs="Times New Roman"/>
          <w:i/>
          <w:sz w:val="24"/>
          <w:szCs w:val="24"/>
        </w:rPr>
        <w:t xml:space="preserve">авнению </w:t>
      </w:r>
      <w:r w:rsidR="00CF382C">
        <w:rPr>
          <w:rFonts w:ascii="Times New Roman" w:hAnsi="Times New Roman" w:cs="Times New Roman"/>
          <w:i/>
          <w:sz w:val="24"/>
          <w:szCs w:val="24"/>
        </w:rPr>
        <w:t xml:space="preserve">с показателем </w:t>
      </w:r>
      <w:r w:rsidR="00E52CA5">
        <w:rPr>
          <w:rFonts w:ascii="Times New Roman" w:hAnsi="Times New Roman" w:cs="Times New Roman"/>
          <w:i/>
          <w:sz w:val="24"/>
          <w:szCs w:val="24"/>
        </w:rPr>
        <w:t>2021</w:t>
      </w:r>
      <w:r w:rsidR="00414DF9" w:rsidRPr="004D67E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F382C">
        <w:rPr>
          <w:rFonts w:ascii="Times New Roman" w:hAnsi="Times New Roman" w:cs="Times New Roman"/>
          <w:i/>
          <w:sz w:val="24"/>
          <w:szCs w:val="24"/>
        </w:rPr>
        <w:t>а</w:t>
      </w:r>
      <w:r w:rsidR="00F70A93" w:rsidRPr="004D67EA">
        <w:rPr>
          <w:rFonts w:ascii="Times New Roman" w:hAnsi="Times New Roman" w:cs="Times New Roman"/>
          <w:i/>
          <w:sz w:val="24"/>
          <w:szCs w:val="24"/>
        </w:rPr>
        <w:t>.</w:t>
      </w:r>
    </w:p>
    <w:p w:rsidR="00E52CA5" w:rsidRDefault="00E52CA5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небольшой рост выручки повлияла передача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филиала в концессию. В выручке 1 полугодия 2021 года сумма доходов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филиала составляла 110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руб</w:t>
      </w:r>
      <w:r w:rsidR="005A5CF9"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При этом во втором полугодии выручка предприятия значительно увеличится за счет </w:t>
      </w:r>
      <w:r w:rsidR="00204567">
        <w:rPr>
          <w:rFonts w:ascii="Times New Roman" w:hAnsi="Times New Roman" w:cs="Times New Roman"/>
          <w:i/>
          <w:sz w:val="24"/>
          <w:szCs w:val="24"/>
        </w:rPr>
        <w:t xml:space="preserve">существенного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роста </w:t>
      </w:r>
      <w:r w:rsidR="00204567">
        <w:rPr>
          <w:rFonts w:ascii="Times New Roman" w:hAnsi="Times New Roman" w:cs="Times New Roman"/>
          <w:i/>
          <w:sz w:val="24"/>
          <w:szCs w:val="24"/>
        </w:rPr>
        <w:t xml:space="preserve">экономически обоснованных </w:t>
      </w:r>
      <w:r>
        <w:rPr>
          <w:rFonts w:ascii="Times New Roman" w:hAnsi="Times New Roman" w:cs="Times New Roman"/>
          <w:i/>
          <w:sz w:val="24"/>
          <w:szCs w:val="24"/>
        </w:rPr>
        <w:t>тарифов с 1 июля на 9,</w:t>
      </w:r>
      <w:r w:rsidR="00204567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i/>
          <w:sz w:val="24"/>
          <w:szCs w:val="24"/>
        </w:rPr>
        <w:t>% и новых подключений с начала ото</w:t>
      </w:r>
      <w:r w:rsidR="00204567">
        <w:rPr>
          <w:rFonts w:ascii="Times New Roman" w:hAnsi="Times New Roman" w:cs="Times New Roman"/>
          <w:i/>
          <w:sz w:val="24"/>
          <w:szCs w:val="24"/>
        </w:rPr>
        <w:t>пительного периода 2022-2023 гг.</w:t>
      </w:r>
    </w:p>
    <w:p w:rsidR="00EF0D6D" w:rsidRPr="00F45770" w:rsidRDefault="00DC4B10" w:rsidP="00C32F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 отчетный период сумма </w:t>
      </w:r>
      <w:r w:rsidR="004F10EA" w:rsidRPr="004D67EA">
        <w:rPr>
          <w:rFonts w:ascii="Times New Roman" w:hAnsi="Times New Roman" w:cs="Times New Roman"/>
          <w:i/>
          <w:sz w:val="24"/>
          <w:szCs w:val="24"/>
        </w:rPr>
        <w:t xml:space="preserve">субсидии, выплачиваемого предприятию для компенсации разницы между экономически </w:t>
      </w:r>
      <w:r w:rsidR="007B771D" w:rsidRPr="004D67EA">
        <w:rPr>
          <w:rFonts w:ascii="Times New Roman" w:hAnsi="Times New Roman" w:cs="Times New Roman"/>
          <w:i/>
          <w:sz w:val="24"/>
          <w:szCs w:val="24"/>
        </w:rPr>
        <w:t xml:space="preserve">обоснованным и льготным тарифом </w:t>
      </w:r>
      <w:r w:rsidR="004F10EA" w:rsidRPr="004D67EA">
        <w:rPr>
          <w:rFonts w:ascii="Times New Roman" w:hAnsi="Times New Roman" w:cs="Times New Roman"/>
          <w:i/>
          <w:sz w:val="24"/>
          <w:szCs w:val="24"/>
        </w:rPr>
        <w:t>для населения (субсидии ОКК) составил</w:t>
      </w:r>
      <w:r w:rsidR="00F45770">
        <w:rPr>
          <w:rFonts w:ascii="Times New Roman" w:hAnsi="Times New Roman" w:cs="Times New Roman"/>
          <w:i/>
          <w:sz w:val="24"/>
          <w:szCs w:val="24"/>
        </w:rPr>
        <w:t>а</w:t>
      </w:r>
      <w:r w:rsidR="004F10EA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567">
        <w:rPr>
          <w:rFonts w:ascii="Times New Roman" w:hAnsi="Times New Roman" w:cs="Times New Roman"/>
          <w:i/>
          <w:sz w:val="24"/>
          <w:szCs w:val="24"/>
        </w:rPr>
        <w:t>7 042</w:t>
      </w:r>
      <w:r w:rsidR="004F10EA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4F10EA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891FC7">
        <w:rPr>
          <w:rFonts w:ascii="Times New Roman" w:hAnsi="Times New Roman" w:cs="Times New Roman"/>
          <w:i/>
          <w:sz w:val="24"/>
          <w:szCs w:val="24"/>
        </w:rPr>
        <w:t>.</w:t>
      </w:r>
    </w:p>
    <w:p w:rsidR="00217DC5" w:rsidRDefault="00C40A10" w:rsidP="00217DC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 xml:space="preserve">Себестоимость в соответствии с отчетностью сложилась в размере </w:t>
      </w:r>
      <w:r w:rsidR="00204567">
        <w:rPr>
          <w:rFonts w:ascii="Times New Roman" w:hAnsi="Times New Roman" w:cs="Times New Roman"/>
          <w:i/>
          <w:sz w:val="24"/>
          <w:szCs w:val="24"/>
        </w:rPr>
        <w:t xml:space="preserve">12 </w:t>
      </w:r>
      <w:r w:rsidR="00004DF8">
        <w:rPr>
          <w:rFonts w:ascii="Times New Roman" w:hAnsi="Times New Roman" w:cs="Times New Roman"/>
          <w:i/>
          <w:sz w:val="24"/>
          <w:szCs w:val="24"/>
        </w:rPr>
        <w:t>714</w:t>
      </w:r>
      <w:r w:rsidR="00535AD8" w:rsidRPr="004D67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4D67EA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C554E9" w:rsidRPr="004D67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при этом по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сравнению с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прошлым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годом </w:t>
      </w:r>
      <w:r w:rsidR="007B771D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зафиксировано увеличение</w:t>
      </w:r>
      <w:r w:rsidR="00D46229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на </w:t>
      </w:r>
      <w:r w:rsidR="00B36A49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1 </w:t>
      </w:r>
      <w:r w:rsidR="00004DF8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098</w:t>
      </w:r>
      <w:r w:rsidR="00B36A49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8B67B8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млн</w:t>
      </w:r>
      <w:r w:rsidR="00F70A93" w:rsidRPr="004D67EA">
        <w:rPr>
          <w:rStyle w:val="a3"/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 xml:space="preserve"> рублей. Основными причинами роста себестоимости являются следующие факторы:</w:t>
      </w:r>
    </w:p>
    <w:p w:rsidR="00B36A49" w:rsidRDefault="00B36A49" w:rsidP="00B36A4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 В большей степени,</w:t>
      </w:r>
      <w:r w:rsidR="00004DF8">
        <w:rPr>
          <w:rFonts w:ascii="Times New Roman" w:hAnsi="Times New Roman" w:cs="Times New Roman"/>
          <w:i/>
          <w:sz w:val="24"/>
          <w:szCs w:val="24"/>
        </w:rPr>
        <w:t xml:space="preserve"> а именно на 689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руб</w:t>
      </w:r>
      <w:r w:rsidR="005A5CF9">
        <w:rPr>
          <w:rFonts w:ascii="Times New Roman" w:hAnsi="Times New Roman" w:cs="Times New Roman"/>
          <w:i/>
          <w:sz w:val="24"/>
          <w:szCs w:val="24"/>
        </w:rPr>
        <w:t xml:space="preserve">лей </w:t>
      </w:r>
      <w:r>
        <w:rPr>
          <w:rFonts w:ascii="Times New Roman" w:hAnsi="Times New Roman" w:cs="Times New Roman"/>
          <w:i/>
          <w:sz w:val="24"/>
          <w:szCs w:val="24"/>
        </w:rPr>
        <w:t>повлияло увеличение амортизационных отчислений. В</w:t>
      </w:r>
      <w:r w:rsidRPr="00B36A49">
        <w:rPr>
          <w:rFonts w:ascii="Times New Roman" w:hAnsi="Times New Roman" w:cs="Times New Roman"/>
          <w:i/>
          <w:sz w:val="24"/>
          <w:szCs w:val="24"/>
        </w:rPr>
        <w:t xml:space="preserve"> связи с вступлением в силу Федерального закона ФСБУ 6 «Учет основных средств» внесены изменения в отношении сроков полезного использования основных средств, корректировке остаточной стоимости по законсервированным объектам, а также по эксплуатируемым объектам с нулевой стоимостью,  что привело к корректиро</w:t>
      </w:r>
      <w:r>
        <w:rPr>
          <w:rFonts w:ascii="Times New Roman" w:hAnsi="Times New Roman" w:cs="Times New Roman"/>
          <w:i/>
          <w:sz w:val="24"/>
          <w:szCs w:val="24"/>
        </w:rPr>
        <w:t>вке амортизационных начислений.</w:t>
      </w:r>
    </w:p>
    <w:p w:rsidR="00004DF8" w:rsidRPr="00004DF8" w:rsidRDefault="00B36A49" w:rsidP="00B36A4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004DF8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начительный рост зафиксирован по энергоресурсам на </w:t>
      </w:r>
      <w:r w:rsidR="00004DF8">
        <w:rPr>
          <w:rFonts w:ascii="Times New Roman" w:hAnsi="Times New Roman" w:cs="Times New Roman"/>
          <w:i/>
          <w:sz w:val="24"/>
          <w:szCs w:val="24"/>
        </w:rPr>
        <w:t>20</w:t>
      </w:r>
      <w:r w:rsidR="002C4ECC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gramStart"/>
      <w:r w:rsidR="002C4ECC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2C4ECC">
        <w:rPr>
          <w:rFonts w:ascii="Times New Roman" w:hAnsi="Times New Roman" w:cs="Times New Roman"/>
          <w:i/>
          <w:sz w:val="24"/>
          <w:szCs w:val="24"/>
        </w:rPr>
        <w:t xml:space="preserve"> руб</w:t>
      </w:r>
      <w:r w:rsidR="005A5CF9">
        <w:rPr>
          <w:rFonts w:ascii="Times New Roman" w:hAnsi="Times New Roman" w:cs="Times New Roman"/>
          <w:i/>
          <w:sz w:val="24"/>
          <w:szCs w:val="24"/>
        </w:rPr>
        <w:t>лей</w:t>
      </w:r>
      <w:r w:rsidR="002C4ECC">
        <w:rPr>
          <w:rFonts w:ascii="Times New Roman" w:hAnsi="Times New Roman" w:cs="Times New Roman"/>
          <w:i/>
          <w:sz w:val="24"/>
          <w:szCs w:val="24"/>
        </w:rPr>
        <w:t>. В большей сте</w:t>
      </w:r>
      <w:r w:rsidR="00D92372">
        <w:rPr>
          <w:rFonts w:ascii="Times New Roman" w:hAnsi="Times New Roman" w:cs="Times New Roman"/>
          <w:i/>
          <w:sz w:val="24"/>
          <w:szCs w:val="24"/>
        </w:rPr>
        <w:t>пени повлиял рост цен на нефть</w:t>
      </w:r>
      <w:r w:rsidR="00004D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04DF8" w:rsidRPr="00004DF8">
        <w:rPr>
          <w:rFonts w:ascii="Times New Roman" w:hAnsi="Times New Roman" w:cs="Times New Roman"/>
          <w:i/>
          <w:sz w:val="24"/>
          <w:szCs w:val="24"/>
        </w:rPr>
        <w:t>Также опережающими темпами растут цены на электроэнер</w:t>
      </w:r>
      <w:r w:rsidR="00004DF8">
        <w:rPr>
          <w:rFonts w:ascii="Times New Roman" w:hAnsi="Times New Roman" w:cs="Times New Roman"/>
          <w:i/>
          <w:sz w:val="24"/>
          <w:szCs w:val="24"/>
        </w:rPr>
        <w:t xml:space="preserve">гию, затраты увеличились на 109 </w:t>
      </w:r>
      <w:proofErr w:type="gramStart"/>
      <w:r w:rsidR="00004DF8" w:rsidRPr="00004DF8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004DF8" w:rsidRPr="00004DF8">
        <w:rPr>
          <w:rFonts w:ascii="Times New Roman" w:hAnsi="Times New Roman" w:cs="Times New Roman"/>
          <w:i/>
          <w:sz w:val="24"/>
          <w:szCs w:val="24"/>
        </w:rPr>
        <w:t xml:space="preserve"> руб</w:t>
      </w:r>
      <w:r w:rsidR="005A5CF9">
        <w:rPr>
          <w:rFonts w:ascii="Times New Roman" w:hAnsi="Times New Roman" w:cs="Times New Roman"/>
          <w:i/>
          <w:sz w:val="24"/>
          <w:szCs w:val="24"/>
        </w:rPr>
        <w:t>лей</w:t>
      </w:r>
      <w:r w:rsidR="00004DF8" w:rsidRPr="00004DF8">
        <w:rPr>
          <w:rFonts w:ascii="Times New Roman" w:hAnsi="Times New Roman" w:cs="Times New Roman"/>
          <w:i/>
          <w:sz w:val="24"/>
          <w:szCs w:val="24"/>
        </w:rPr>
        <w:t>.</w:t>
      </w:r>
      <w:r w:rsidR="00004DF8">
        <w:rPr>
          <w:rFonts w:ascii="Times New Roman" w:hAnsi="Times New Roman" w:cs="Times New Roman"/>
          <w:i/>
          <w:sz w:val="24"/>
          <w:szCs w:val="24"/>
        </w:rPr>
        <w:t xml:space="preserve"> Возникающие выпадающие расходы были включены в состав экономически обоснованных тарифов с 1 июля 2022 года.</w:t>
      </w:r>
    </w:p>
    <w:p w:rsidR="006234E9" w:rsidRPr="006234E9" w:rsidRDefault="00EA08A0" w:rsidP="00DF289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В составе себестоимости затраты на вознаграждение работников составили </w:t>
      </w:r>
      <w:r w:rsidR="00004DF8">
        <w:rPr>
          <w:rFonts w:ascii="Times New Roman" w:hAnsi="Times New Roman" w:cs="Times New Roman"/>
          <w:i/>
          <w:sz w:val="24"/>
          <w:szCs w:val="24"/>
        </w:rPr>
        <w:t>3 557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r w:rsidR="005A5CF9">
        <w:rPr>
          <w:rFonts w:ascii="Times New Roman" w:hAnsi="Times New Roman" w:cs="Times New Roman"/>
          <w:i/>
          <w:sz w:val="24"/>
          <w:szCs w:val="24"/>
        </w:rPr>
        <w:t>лн</w:t>
      </w:r>
      <w:proofErr w:type="gramEnd"/>
      <w:r w:rsidR="00004DF8">
        <w:rPr>
          <w:rFonts w:ascii="Times New Roman" w:hAnsi="Times New Roman" w:cs="Times New Roman"/>
          <w:i/>
          <w:sz w:val="24"/>
          <w:szCs w:val="24"/>
        </w:rPr>
        <w:t xml:space="preserve"> рублей, что выше уровня 2021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на </w:t>
      </w:r>
      <w:r w:rsidR="00004DF8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млн руб</w:t>
      </w:r>
      <w:r w:rsidR="005A5CF9"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943F7">
        <w:rPr>
          <w:rFonts w:ascii="Times New Roman" w:hAnsi="Times New Roman" w:cs="Times New Roman"/>
          <w:i/>
          <w:sz w:val="24"/>
          <w:szCs w:val="24"/>
        </w:rPr>
        <w:t>При этом</w:t>
      </w:r>
      <w:r w:rsidR="003943F7" w:rsidRPr="006234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618">
        <w:rPr>
          <w:rFonts w:ascii="Times New Roman" w:hAnsi="Times New Roman" w:cs="Times New Roman"/>
          <w:i/>
          <w:sz w:val="24"/>
          <w:szCs w:val="24"/>
        </w:rPr>
        <w:t xml:space="preserve">за счет проводимых мероприятий по оптимизации численности персонала, </w:t>
      </w:r>
      <w:r w:rsidR="000D0618" w:rsidRPr="006234E9">
        <w:rPr>
          <w:rFonts w:ascii="Times New Roman" w:hAnsi="Times New Roman" w:cs="Times New Roman"/>
          <w:i/>
          <w:sz w:val="24"/>
          <w:szCs w:val="24"/>
        </w:rPr>
        <w:t xml:space="preserve">совокупный объем затрат </w:t>
      </w:r>
      <w:r w:rsidR="006234E9" w:rsidRPr="006234E9">
        <w:rPr>
          <w:rFonts w:ascii="Times New Roman" w:hAnsi="Times New Roman" w:cs="Times New Roman"/>
          <w:i/>
          <w:sz w:val="24"/>
          <w:szCs w:val="24"/>
        </w:rPr>
        <w:t xml:space="preserve">на вознаграждение работников </w:t>
      </w:r>
      <w:r w:rsidR="000D0618">
        <w:rPr>
          <w:rFonts w:ascii="Times New Roman" w:hAnsi="Times New Roman" w:cs="Times New Roman"/>
          <w:i/>
          <w:sz w:val="24"/>
          <w:szCs w:val="24"/>
        </w:rPr>
        <w:t>снизил</w:t>
      </w:r>
      <w:r w:rsidR="006543E5">
        <w:rPr>
          <w:rFonts w:ascii="Times New Roman" w:hAnsi="Times New Roman" w:cs="Times New Roman"/>
          <w:i/>
          <w:sz w:val="24"/>
          <w:szCs w:val="24"/>
        </w:rPr>
        <w:t>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всего</w:t>
      </w:r>
      <w:r w:rsidR="006234E9" w:rsidRPr="006234E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10133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6234E9" w:rsidRPr="00EA08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B67B8" w:rsidRPr="00EA08A0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6234E9" w:rsidRPr="00EA08A0">
        <w:rPr>
          <w:rFonts w:ascii="Times New Roman" w:hAnsi="Times New Roman" w:cs="Times New Roman"/>
          <w:i/>
          <w:sz w:val="24"/>
          <w:szCs w:val="24"/>
        </w:rPr>
        <w:t xml:space="preserve"> рублей (таблица №1</w:t>
      </w:r>
      <w:r w:rsidR="006234E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234E9" w:rsidRPr="006234E9" w:rsidRDefault="006234E9" w:rsidP="006234E9">
      <w:pPr>
        <w:pStyle w:val="a5"/>
        <w:tabs>
          <w:tab w:val="left" w:pos="567"/>
        </w:tabs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4E9">
        <w:rPr>
          <w:rFonts w:ascii="Times New Roman" w:hAnsi="Times New Roman" w:cs="Times New Roman"/>
          <w:i/>
          <w:szCs w:val="24"/>
        </w:rPr>
        <w:t>Таблица №1. Воз</w:t>
      </w:r>
      <w:r w:rsidR="009B6651">
        <w:rPr>
          <w:rFonts w:ascii="Times New Roman" w:hAnsi="Times New Roman" w:cs="Times New Roman"/>
          <w:i/>
          <w:szCs w:val="24"/>
        </w:rPr>
        <w:t xml:space="preserve">награждение работников </w:t>
      </w:r>
      <w:r w:rsidR="00101336">
        <w:rPr>
          <w:rFonts w:ascii="Times New Roman" w:hAnsi="Times New Roman" w:cs="Times New Roman"/>
          <w:i/>
          <w:szCs w:val="24"/>
        </w:rPr>
        <w:t xml:space="preserve">1 полугодие </w:t>
      </w:r>
      <w:r w:rsidR="009B6651">
        <w:rPr>
          <w:rFonts w:ascii="Times New Roman" w:hAnsi="Times New Roman" w:cs="Times New Roman"/>
          <w:i/>
          <w:szCs w:val="24"/>
        </w:rPr>
        <w:t>202</w:t>
      </w:r>
      <w:r w:rsidR="00101336">
        <w:rPr>
          <w:rFonts w:ascii="Times New Roman" w:hAnsi="Times New Roman" w:cs="Times New Roman"/>
          <w:i/>
          <w:szCs w:val="24"/>
        </w:rPr>
        <w:t>2</w:t>
      </w:r>
      <w:r w:rsidR="009B6651">
        <w:rPr>
          <w:rFonts w:ascii="Times New Roman" w:hAnsi="Times New Roman" w:cs="Times New Roman"/>
          <w:i/>
          <w:szCs w:val="24"/>
        </w:rPr>
        <w:t>-2021 гг.</w:t>
      </w:r>
      <w:r w:rsidR="00582C4F">
        <w:rPr>
          <w:rFonts w:ascii="Times New Roman" w:hAnsi="Times New Roman" w:cs="Times New Roman"/>
          <w:i/>
          <w:szCs w:val="24"/>
        </w:rPr>
        <w:t xml:space="preserve"> (</w:t>
      </w:r>
      <w:proofErr w:type="gramStart"/>
      <w:r w:rsidR="008B67B8">
        <w:rPr>
          <w:rFonts w:ascii="Times New Roman" w:hAnsi="Times New Roman" w:cs="Times New Roman"/>
          <w:i/>
          <w:szCs w:val="24"/>
        </w:rPr>
        <w:t>млн</w:t>
      </w:r>
      <w:proofErr w:type="gramEnd"/>
      <w:r w:rsidR="00582C4F"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2"/>
        <w:gridCol w:w="1293"/>
        <w:gridCol w:w="1293"/>
        <w:gridCol w:w="1294"/>
      </w:tblGrid>
      <w:tr w:rsidR="003943F7" w:rsidRPr="006234E9" w:rsidTr="006234E9">
        <w:trPr>
          <w:trHeight w:val="465"/>
        </w:trPr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D81C62" w:rsidRDefault="00D81C62" w:rsidP="00D8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1C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Вознаграждение работникам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D81C62" w:rsidRDefault="00004DF8" w:rsidP="00D8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1п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D81C62" w:rsidRDefault="00004DF8" w:rsidP="00D8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1п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C62" w:rsidRPr="006234E9" w:rsidRDefault="006B3283" w:rsidP="006B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Изм.</w:t>
            </w:r>
          </w:p>
        </w:tc>
      </w:tr>
      <w:tr w:rsidR="003943F7" w:rsidRPr="00D81C62" w:rsidTr="006234E9">
        <w:trPr>
          <w:trHeight w:val="300"/>
        </w:trPr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D81C62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D81C62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D81C62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62" w:rsidRPr="00D81C62" w:rsidRDefault="00D81C62" w:rsidP="00D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3F7" w:rsidRPr="00D81C62" w:rsidTr="006234E9">
        <w:trPr>
          <w:trHeight w:val="300"/>
        </w:trPr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3943F7" w:rsidP="00F45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Вознаграждение работникам (в составе себестоимости) 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004DF8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004DF8" w:rsidP="00004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3 545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004DF8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943F7" w:rsidRPr="00D81C62" w:rsidTr="006234E9">
        <w:trPr>
          <w:trHeight w:val="300"/>
        </w:trPr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3943F7" w:rsidP="00EA08A0">
            <w:pPr>
              <w:spacing w:after="0" w:line="240" w:lineRule="auto"/>
              <w:ind w:right="-57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Вознаграждение работникам (в составе а</w:t>
            </w:r>
            <w:r w:rsidR="00D81C62" w:rsidRPr="00D81C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дминистративны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r w:rsidR="00F457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81C62" w:rsidRPr="00D81C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</w:t>
            </w:r>
            <w:r w:rsidR="00EA0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ходов</w:t>
            </w:r>
            <w:proofErr w:type="gramStart"/>
            <w:r w:rsidR="00EA0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="00D81C62" w:rsidRPr="00D81C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gramEnd"/>
            <w:r w:rsidR="00D81C62" w:rsidRPr="00D81C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ов)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004DF8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004DF8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D81C62" w:rsidP="00004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34E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</w:t>
            </w:r>
            <w:r w:rsidR="00004DF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43</w:t>
            </w:r>
          </w:p>
        </w:tc>
      </w:tr>
      <w:tr w:rsidR="003943F7" w:rsidRPr="00D81C62" w:rsidTr="006234E9">
        <w:trPr>
          <w:trHeight w:val="315"/>
        </w:trPr>
        <w:tc>
          <w:tcPr>
            <w:tcW w:w="1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1C62" w:rsidRPr="00D81C62" w:rsidRDefault="00D81C62" w:rsidP="00D81C6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C62" w:rsidRPr="00D81C62" w:rsidRDefault="00D81C62" w:rsidP="00D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C62" w:rsidRPr="00D81C62" w:rsidRDefault="00D81C62" w:rsidP="00D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C62" w:rsidRPr="00D81C62" w:rsidRDefault="00D81C62" w:rsidP="00D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3F7" w:rsidRPr="00D81C62" w:rsidTr="003D0530">
        <w:trPr>
          <w:trHeight w:val="315"/>
        </w:trPr>
        <w:tc>
          <w:tcPr>
            <w:tcW w:w="1769" w:type="pct"/>
            <w:tcBorders>
              <w:top w:val="nil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D81C62" w:rsidP="00D81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1C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004DF8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3 944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004DF8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3 914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thickThinLarge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C62" w:rsidRPr="00D81C62" w:rsidRDefault="000D0618" w:rsidP="00EA0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061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  <w:r w:rsidR="00004DF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30</w:t>
            </w:r>
          </w:p>
        </w:tc>
      </w:tr>
    </w:tbl>
    <w:p w:rsidR="00D81C62" w:rsidRDefault="00D81C62" w:rsidP="00D81C62">
      <w:pPr>
        <w:pStyle w:val="a5"/>
        <w:tabs>
          <w:tab w:val="left" w:pos="567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C2F" w:rsidRDefault="00EE2D2D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EA">
        <w:rPr>
          <w:rFonts w:ascii="Times New Roman" w:hAnsi="Times New Roman" w:cs="Times New Roman"/>
          <w:i/>
          <w:sz w:val="24"/>
          <w:szCs w:val="24"/>
        </w:rPr>
        <w:tab/>
      </w:r>
      <w:r w:rsidR="009C3486">
        <w:rPr>
          <w:rFonts w:ascii="Times New Roman" w:hAnsi="Times New Roman" w:cs="Times New Roman"/>
          <w:i/>
          <w:sz w:val="24"/>
          <w:szCs w:val="24"/>
        </w:rPr>
        <w:tab/>
      </w:r>
      <w:r w:rsidR="004946E3">
        <w:rPr>
          <w:rFonts w:ascii="Times New Roman" w:hAnsi="Times New Roman" w:cs="Times New Roman"/>
          <w:i/>
          <w:sz w:val="24"/>
          <w:szCs w:val="24"/>
        </w:rPr>
        <w:t xml:space="preserve">Уровень административных затрат по итогам 2021 года составил </w:t>
      </w:r>
      <w:r w:rsidR="00101336">
        <w:rPr>
          <w:rFonts w:ascii="Times New Roman" w:hAnsi="Times New Roman" w:cs="Times New Roman"/>
          <w:i/>
          <w:sz w:val="24"/>
          <w:szCs w:val="24"/>
        </w:rPr>
        <w:t>472</w:t>
      </w:r>
      <w:r w:rsidR="004946E3">
        <w:rPr>
          <w:rFonts w:ascii="Times New Roman" w:hAnsi="Times New Roman" w:cs="Times New Roman"/>
          <w:i/>
          <w:sz w:val="24"/>
          <w:szCs w:val="24"/>
        </w:rPr>
        <w:t xml:space="preserve"> млн. рублей</w:t>
      </w:r>
      <w:r w:rsidR="00711BB8">
        <w:rPr>
          <w:rFonts w:ascii="Times New Roman" w:hAnsi="Times New Roman" w:cs="Times New Roman"/>
          <w:i/>
          <w:sz w:val="24"/>
          <w:szCs w:val="24"/>
        </w:rPr>
        <w:t xml:space="preserve"> что ниже уровня 202</w:t>
      </w:r>
      <w:r w:rsidR="00101336">
        <w:rPr>
          <w:rFonts w:ascii="Times New Roman" w:hAnsi="Times New Roman" w:cs="Times New Roman"/>
          <w:i/>
          <w:sz w:val="24"/>
          <w:szCs w:val="24"/>
        </w:rPr>
        <w:t>1 года на 96</w:t>
      </w:r>
      <w:r w:rsidR="00711BB8">
        <w:rPr>
          <w:rFonts w:ascii="Times New Roman" w:hAnsi="Times New Roman" w:cs="Times New Roman"/>
          <w:i/>
          <w:sz w:val="24"/>
          <w:szCs w:val="24"/>
        </w:rPr>
        <w:t xml:space="preserve"> млн. рублей. За исключением распределения затрат на вознаграждение работников  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за отчетный период отмечается снижение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>общехозяйственных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затрат, что является результатом проводимой на предприятии работы по оптимизации расходов. </w:t>
      </w:r>
      <w:r w:rsidR="0094355A">
        <w:rPr>
          <w:rFonts w:ascii="Times New Roman" w:hAnsi="Times New Roman" w:cs="Times New Roman"/>
          <w:i/>
          <w:sz w:val="24"/>
          <w:szCs w:val="24"/>
        </w:rPr>
        <w:t>Например</w:t>
      </w:r>
      <w:r w:rsidR="00101336">
        <w:rPr>
          <w:rFonts w:ascii="Times New Roman" w:hAnsi="Times New Roman" w:cs="Times New Roman"/>
          <w:i/>
          <w:sz w:val="24"/>
          <w:szCs w:val="24"/>
        </w:rPr>
        <w:t>, транспортные расходы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55A">
        <w:rPr>
          <w:rFonts w:ascii="Times New Roman" w:hAnsi="Times New Roman" w:cs="Times New Roman"/>
          <w:i/>
          <w:sz w:val="24"/>
          <w:szCs w:val="24"/>
        </w:rPr>
        <w:t>сокращены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101336">
        <w:rPr>
          <w:rFonts w:ascii="Times New Roman" w:hAnsi="Times New Roman" w:cs="Times New Roman"/>
          <w:i/>
          <w:sz w:val="24"/>
          <w:szCs w:val="24"/>
        </w:rPr>
        <w:t>0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 w:rsidRPr="00711BB8">
        <w:rPr>
          <w:rFonts w:ascii="Times New Roman" w:hAnsi="Times New Roman" w:cs="Times New Roman"/>
          <w:i/>
          <w:sz w:val="24"/>
          <w:szCs w:val="24"/>
        </w:rPr>
        <w:t>млн</w:t>
      </w:r>
      <w:r w:rsidR="0094355A">
        <w:rPr>
          <w:rFonts w:ascii="Times New Roman" w:hAnsi="Times New Roman" w:cs="Times New Roman"/>
          <w:i/>
          <w:sz w:val="24"/>
          <w:szCs w:val="24"/>
        </w:rPr>
        <w:t>.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>, затраты на</w:t>
      </w:r>
      <w:r w:rsidR="00101336">
        <w:rPr>
          <w:rFonts w:ascii="Times New Roman" w:hAnsi="Times New Roman" w:cs="Times New Roman"/>
          <w:i/>
          <w:sz w:val="24"/>
          <w:szCs w:val="24"/>
        </w:rPr>
        <w:t xml:space="preserve"> связь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снижены на </w:t>
      </w:r>
      <w:r w:rsidR="00101336">
        <w:rPr>
          <w:rFonts w:ascii="Times New Roman" w:hAnsi="Times New Roman" w:cs="Times New Roman"/>
          <w:i/>
          <w:sz w:val="24"/>
          <w:szCs w:val="24"/>
        </w:rPr>
        <w:t>4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B67B8" w:rsidRPr="00711BB8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497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>рублей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, расходы </w:t>
      </w:r>
      <w:r w:rsidR="00101336">
        <w:rPr>
          <w:rFonts w:ascii="Times New Roman" w:hAnsi="Times New Roman" w:cs="Times New Roman"/>
          <w:i/>
          <w:sz w:val="24"/>
          <w:szCs w:val="24"/>
        </w:rPr>
        <w:t xml:space="preserve">на содержание персонала 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снизились на </w:t>
      </w:r>
      <w:r w:rsidR="00711BB8" w:rsidRPr="00711BB8">
        <w:rPr>
          <w:rFonts w:ascii="Times New Roman" w:hAnsi="Times New Roman" w:cs="Times New Roman"/>
          <w:i/>
          <w:sz w:val="24"/>
          <w:szCs w:val="24"/>
        </w:rPr>
        <w:t>5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7B8" w:rsidRPr="00711BB8">
        <w:rPr>
          <w:rFonts w:ascii="Times New Roman" w:hAnsi="Times New Roman" w:cs="Times New Roman"/>
          <w:i/>
          <w:sz w:val="24"/>
          <w:szCs w:val="24"/>
        </w:rPr>
        <w:t>млн</w:t>
      </w:r>
      <w:r w:rsidR="004974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>руб</w:t>
      </w:r>
      <w:r w:rsidR="009B6651" w:rsidRPr="00711BB8">
        <w:rPr>
          <w:rFonts w:ascii="Times New Roman" w:hAnsi="Times New Roman" w:cs="Times New Roman"/>
          <w:i/>
          <w:sz w:val="24"/>
          <w:szCs w:val="24"/>
        </w:rPr>
        <w:t>лей</w:t>
      </w:r>
      <w:r w:rsidR="00426C2F" w:rsidRPr="00711BB8">
        <w:rPr>
          <w:rFonts w:ascii="Times New Roman" w:hAnsi="Times New Roman" w:cs="Times New Roman"/>
          <w:i/>
          <w:sz w:val="24"/>
          <w:szCs w:val="24"/>
        </w:rPr>
        <w:t>.</w:t>
      </w:r>
    </w:p>
    <w:p w:rsidR="008C5E37" w:rsidRDefault="008C5E37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По итогам 1 полугодия 2021 года операционная прибыль предприятия сложил</w:t>
      </w:r>
      <w:r w:rsidR="00582C4F">
        <w:rPr>
          <w:rFonts w:ascii="Times New Roman" w:hAnsi="Times New Roman" w:cs="Times New Roman"/>
          <w:i/>
          <w:sz w:val="24"/>
          <w:szCs w:val="24"/>
        </w:rPr>
        <w:t>ась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582C4F">
        <w:rPr>
          <w:rFonts w:ascii="Times New Roman" w:hAnsi="Times New Roman" w:cs="Times New Roman"/>
          <w:i/>
          <w:sz w:val="24"/>
          <w:szCs w:val="24"/>
        </w:rPr>
        <w:t xml:space="preserve"> размере </w:t>
      </w:r>
      <w:r w:rsidR="00AA7593">
        <w:rPr>
          <w:rFonts w:ascii="Times New Roman" w:hAnsi="Times New Roman" w:cs="Times New Roman"/>
          <w:i/>
          <w:sz w:val="24"/>
          <w:szCs w:val="24"/>
        </w:rPr>
        <w:t>9</w:t>
      </w:r>
      <w:r w:rsidR="00101336">
        <w:rPr>
          <w:rFonts w:ascii="Times New Roman" w:hAnsi="Times New Roman" w:cs="Times New Roman"/>
          <w:i/>
          <w:sz w:val="24"/>
          <w:szCs w:val="24"/>
        </w:rPr>
        <w:t>68</w:t>
      </w:r>
      <w:r w:rsidR="00582C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582C4F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E56042">
        <w:rPr>
          <w:rFonts w:ascii="Times New Roman" w:hAnsi="Times New Roman" w:cs="Times New Roman"/>
          <w:i/>
          <w:sz w:val="24"/>
          <w:szCs w:val="24"/>
        </w:rPr>
        <w:t>. По</w:t>
      </w:r>
      <w:r w:rsidR="001F3064">
        <w:rPr>
          <w:rFonts w:ascii="Times New Roman" w:hAnsi="Times New Roman" w:cs="Times New Roman"/>
          <w:i/>
          <w:sz w:val="24"/>
          <w:szCs w:val="24"/>
        </w:rPr>
        <w:t xml:space="preserve"> сравнению с </w:t>
      </w:r>
      <w:r w:rsidR="00AA7593">
        <w:rPr>
          <w:rFonts w:ascii="Times New Roman" w:hAnsi="Times New Roman" w:cs="Times New Roman"/>
          <w:i/>
          <w:sz w:val="24"/>
          <w:szCs w:val="24"/>
        </w:rPr>
        <w:t>показателем</w:t>
      </w:r>
      <w:r w:rsidR="00101336">
        <w:rPr>
          <w:rFonts w:ascii="Times New Roman" w:hAnsi="Times New Roman" w:cs="Times New Roman"/>
          <w:i/>
          <w:sz w:val="24"/>
          <w:szCs w:val="24"/>
        </w:rPr>
        <w:t xml:space="preserve"> 2021</w:t>
      </w:r>
      <w:r w:rsidR="001F3064">
        <w:rPr>
          <w:rFonts w:ascii="Times New Roman" w:hAnsi="Times New Roman" w:cs="Times New Roman"/>
          <w:i/>
          <w:sz w:val="24"/>
          <w:szCs w:val="24"/>
        </w:rPr>
        <w:t xml:space="preserve"> года зафиксировано </w:t>
      </w:r>
      <w:r w:rsidR="00711BB8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="001F306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101336">
        <w:rPr>
          <w:rFonts w:ascii="Times New Roman" w:hAnsi="Times New Roman" w:cs="Times New Roman"/>
          <w:i/>
          <w:sz w:val="24"/>
          <w:szCs w:val="24"/>
        </w:rPr>
        <w:t>815</w:t>
      </w:r>
      <w:r w:rsidR="003A6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B67B8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3A6888">
        <w:rPr>
          <w:rFonts w:ascii="Times New Roman" w:hAnsi="Times New Roman" w:cs="Times New Roman"/>
          <w:i/>
          <w:sz w:val="24"/>
          <w:szCs w:val="24"/>
        </w:rPr>
        <w:t xml:space="preserve"> рублей (таблица №2).</w:t>
      </w:r>
    </w:p>
    <w:p w:rsidR="00C86F82" w:rsidRPr="001F3064" w:rsidRDefault="00C86F82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AF9" w:rsidRPr="006234E9" w:rsidRDefault="00573AF9" w:rsidP="00573AF9">
      <w:pPr>
        <w:pStyle w:val="a5"/>
        <w:tabs>
          <w:tab w:val="left" w:pos="567"/>
        </w:tabs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4E9">
        <w:rPr>
          <w:rFonts w:ascii="Times New Roman" w:hAnsi="Times New Roman" w:cs="Times New Roman"/>
          <w:i/>
          <w:szCs w:val="24"/>
        </w:rPr>
        <w:t>Таблица №</w:t>
      </w:r>
      <w:r>
        <w:rPr>
          <w:rFonts w:ascii="Times New Roman" w:hAnsi="Times New Roman" w:cs="Times New Roman"/>
          <w:i/>
          <w:szCs w:val="24"/>
        </w:rPr>
        <w:t>2</w:t>
      </w:r>
      <w:r w:rsidRPr="006234E9">
        <w:rPr>
          <w:rFonts w:ascii="Times New Roman" w:hAnsi="Times New Roman" w:cs="Times New Roman"/>
          <w:i/>
          <w:szCs w:val="24"/>
        </w:rPr>
        <w:t xml:space="preserve">. </w:t>
      </w:r>
      <w:r>
        <w:rPr>
          <w:rFonts w:ascii="Times New Roman" w:hAnsi="Times New Roman" w:cs="Times New Roman"/>
          <w:i/>
          <w:szCs w:val="24"/>
        </w:rPr>
        <w:t xml:space="preserve">Операционная прибыль </w:t>
      </w:r>
      <w:r w:rsidR="00101336">
        <w:rPr>
          <w:rFonts w:ascii="Times New Roman" w:hAnsi="Times New Roman" w:cs="Times New Roman"/>
          <w:i/>
          <w:szCs w:val="24"/>
        </w:rPr>
        <w:t xml:space="preserve">1 полугодия </w:t>
      </w:r>
      <w:r>
        <w:rPr>
          <w:rFonts w:ascii="Times New Roman" w:hAnsi="Times New Roman" w:cs="Times New Roman"/>
          <w:i/>
          <w:szCs w:val="24"/>
        </w:rPr>
        <w:t>202</w:t>
      </w:r>
      <w:r w:rsidR="00101336">
        <w:rPr>
          <w:rFonts w:ascii="Times New Roman" w:hAnsi="Times New Roman" w:cs="Times New Roman"/>
          <w:i/>
          <w:szCs w:val="24"/>
        </w:rPr>
        <w:t>2</w:t>
      </w:r>
      <w:r w:rsidR="003A6888">
        <w:rPr>
          <w:rFonts w:ascii="Times New Roman" w:hAnsi="Times New Roman" w:cs="Times New Roman"/>
          <w:i/>
          <w:szCs w:val="24"/>
        </w:rPr>
        <w:t>-202</w:t>
      </w:r>
      <w:r w:rsidR="00101336">
        <w:rPr>
          <w:rFonts w:ascii="Times New Roman" w:hAnsi="Times New Roman" w:cs="Times New Roman"/>
          <w:i/>
          <w:szCs w:val="24"/>
        </w:rPr>
        <w:t>1</w:t>
      </w:r>
      <w:r w:rsidR="003A6888">
        <w:rPr>
          <w:rFonts w:ascii="Times New Roman" w:hAnsi="Times New Roman" w:cs="Times New Roman"/>
          <w:i/>
          <w:szCs w:val="24"/>
        </w:rPr>
        <w:t xml:space="preserve"> гг. (</w:t>
      </w:r>
      <w:r w:rsidR="008B67B8">
        <w:rPr>
          <w:rFonts w:ascii="Times New Roman" w:hAnsi="Times New Roman" w:cs="Times New Roman"/>
          <w:i/>
          <w:szCs w:val="24"/>
        </w:rPr>
        <w:t>млн</w:t>
      </w:r>
      <w:r w:rsidR="00101336">
        <w:rPr>
          <w:rFonts w:ascii="Times New Roman" w:hAnsi="Times New Roman" w:cs="Times New Roman"/>
          <w:i/>
          <w:szCs w:val="24"/>
        </w:rPr>
        <w:t>.</w:t>
      </w:r>
      <w:r w:rsidR="003A6888"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80"/>
        <w:gridCol w:w="1170"/>
        <w:gridCol w:w="1797"/>
        <w:gridCol w:w="1795"/>
      </w:tblGrid>
      <w:tr w:rsidR="00101DFA" w:rsidRPr="008C5E37" w:rsidTr="00101DFA">
        <w:trPr>
          <w:trHeight w:val="315"/>
        </w:trPr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DFA" w:rsidP="008C5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711BB8" w:rsidP="0010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01336">
              <w:rPr>
                <w:rFonts w:ascii="Arial" w:hAnsi="Arial" w:cs="Arial"/>
                <w:b/>
                <w:sz w:val="16"/>
                <w:szCs w:val="16"/>
              </w:rPr>
              <w:t>2 1 пол</w:t>
            </w:r>
          </w:p>
        </w:tc>
        <w:tc>
          <w:tcPr>
            <w:tcW w:w="9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711BB8" w:rsidP="0010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01336">
              <w:rPr>
                <w:rFonts w:ascii="Arial" w:hAnsi="Arial" w:cs="Arial"/>
                <w:b/>
                <w:sz w:val="16"/>
                <w:szCs w:val="16"/>
              </w:rPr>
              <w:t>21 1 пол</w:t>
            </w:r>
          </w:p>
        </w:tc>
        <w:tc>
          <w:tcPr>
            <w:tcW w:w="97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DFA" w:rsidRDefault="006B3283" w:rsidP="00101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Изм.</w:t>
            </w:r>
          </w:p>
        </w:tc>
      </w:tr>
      <w:tr w:rsidR="00101DFA" w:rsidRPr="008C5E37" w:rsidTr="00101DFA">
        <w:trPr>
          <w:trHeight w:val="300"/>
        </w:trPr>
        <w:tc>
          <w:tcPr>
            <w:tcW w:w="2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DFA" w:rsidP="008C5E3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C5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Операционная прибыль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336" w:rsidP="003A6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336" w:rsidP="0071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DFA" w:rsidRPr="008C5E37" w:rsidRDefault="00101336" w:rsidP="00101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</w:tr>
      <w:tr w:rsidR="00101DFA" w:rsidRPr="008C5E37" w:rsidTr="00101DFA">
        <w:trPr>
          <w:trHeight w:val="315"/>
        </w:trPr>
        <w:tc>
          <w:tcPr>
            <w:tcW w:w="24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DFA" w:rsidP="008C5E3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Рентабельность по опер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5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C5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рибыли, %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336" w:rsidP="00101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711B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DFA" w:rsidRPr="008C5E37" w:rsidRDefault="00101336" w:rsidP="00101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711B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01DFA" w:rsidRPr="008C5E37" w:rsidRDefault="00101336" w:rsidP="00101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711BB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</w:tbl>
    <w:p w:rsidR="001F3064" w:rsidRDefault="001F3064" w:rsidP="001F306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7593" w:rsidRDefault="00AA7593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Также наблюдается улучшение финансового результата по сравнению с прошлым годом на </w:t>
      </w:r>
      <w:r w:rsidR="005A5CF9">
        <w:rPr>
          <w:rFonts w:ascii="Times New Roman" w:hAnsi="Times New Roman" w:cs="Times New Roman"/>
          <w:i/>
          <w:sz w:val="24"/>
          <w:szCs w:val="24"/>
        </w:rPr>
        <w:t xml:space="preserve">825 </w:t>
      </w:r>
      <w:proofErr w:type="gramStart"/>
      <w:r w:rsidR="005A5CF9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101336">
        <w:rPr>
          <w:rFonts w:ascii="Times New Roman" w:hAnsi="Times New Roman" w:cs="Times New Roman"/>
          <w:i/>
          <w:sz w:val="24"/>
          <w:szCs w:val="24"/>
        </w:rPr>
        <w:t xml:space="preserve"> рублей. Чистая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336">
        <w:rPr>
          <w:rFonts w:ascii="Times New Roman" w:hAnsi="Times New Roman" w:cs="Times New Roman"/>
          <w:i/>
          <w:sz w:val="24"/>
          <w:szCs w:val="24"/>
        </w:rPr>
        <w:t>прибыль предприятия по итогам 2022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101336">
        <w:rPr>
          <w:rFonts w:ascii="Times New Roman" w:hAnsi="Times New Roman" w:cs="Times New Roman"/>
          <w:i/>
          <w:sz w:val="24"/>
          <w:szCs w:val="24"/>
        </w:rPr>
        <w:t xml:space="preserve">1 полугодия </w:t>
      </w:r>
      <w:r>
        <w:rPr>
          <w:rFonts w:ascii="Times New Roman" w:hAnsi="Times New Roman" w:cs="Times New Roman"/>
          <w:i/>
          <w:sz w:val="24"/>
          <w:szCs w:val="24"/>
        </w:rPr>
        <w:t>составил</w:t>
      </w:r>
      <w:r w:rsidR="0010133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336">
        <w:rPr>
          <w:rFonts w:ascii="Times New Roman" w:hAnsi="Times New Roman" w:cs="Times New Roman"/>
          <w:i/>
          <w:sz w:val="24"/>
          <w:szCs w:val="24"/>
        </w:rPr>
        <w:t>372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284011">
        <w:rPr>
          <w:rFonts w:ascii="Times New Roman" w:hAnsi="Times New Roman" w:cs="Times New Roman"/>
          <w:i/>
          <w:sz w:val="24"/>
          <w:szCs w:val="24"/>
        </w:rPr>
        <w:t xml:space="preserve"> (таблица №3). </w:t>
      </w:r>
    </w:p>
    <w:p w:rsidR="00877FC3" w:rsidRPr="006234E9" w:rsidRDefault="00877FC3" w:rsidP="00877FC3">
      <w:pPr>
        <w:pStyle w:val="a5"/>
        <w:tabs>
          <w:tab w:val="left" w:pos="567"/>
        </w:tabs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34E9">
        <w:rPr>
          <w:rFonts w:ascii="Times New Roman" w:hAnsi="Times New Roman" w:cs="Times New Roman"/>
          <w:i/>
          <w:szCs w:val="24"/>
        </w:rPr>
        <w:t>Таблица №</w:t>
      </w:r>
      <w:r w:rsidR="00711BB8">
        <w:rPr>
          <w:rFonts w:ascii="Times New Roman" w:hAnsi="Times New Roman" w:cs="Times New Roman"/>
          <w:i/>
          <w:szCs w:val="24"/>
        </w:rPr>
        <w:t>3</w:t>
      </w:r>
      <w:r w:rsidRPr="006234E9">
        <w:rPr>
          <w:rFonts w:ascii="Times New Roman" w:hAnsi="Times New Roman" w:cs="Times New Roman"/>
          <w:i/>
          <w:szCs w:val="24"/>
        </w:rPr>
        <w:t xml:space="preserve">. </w:t>
      </w:r>
      <w:r>
        <w:rPr>
          <w:rFonts w:ascii="Times New Roman" w:hAnsi="Times New Roman" w:cs="Times New Roman"/>
          <w:i/>
          <w:szCs w:val="24"/>
        </w:rPr>
        <w:t>Финансовые показатели (</w:t>
      </w:r>
      <w:r w:rsidR="008B67B8">
        <w:rPr>
          <w:rFonts w:ascii="Times New Roman" w:hAnsi="Times New Roman" w:cs="Times New Roman"/>
          <w:i/>
          <w:szCs w:val="24"/>
        </w:rPr>
        <w:t>млн</w:t>
      </w:r>
      <w:r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4"/>
        <w:gridCol w:w="1770"/>
        <w:gridCol w:w="1769"/>
        <w:gridCol w:w="1769"/>
      </w:tblGrid>
      <w:tr w:rsidR="00666778" w:rsidRPr="008C5E37" w:rsidTr="00E56042">
        <w:trPr>
          <w:trHeight w:val="315"/>
        </w:trPr>
        <w:tc>
          <w:tcPr>
            <w:tcW w:w="2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778" w:rsidRPr="008C5E37" w:rsidRDefault="00666778" w:rsidP="00666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778" w:rsidRPr="008C5E37" w:rsidRDefault="00711BB8" w:rsidP="0010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01336">
              <w:rPr>
                <w:rFonts w:ascii="Arial" w:hAnsi="Arial" w:cs="Arial"/>
                <w:b/>
                <w:sz w:val="16"/>
                <w:szCs w:val="16"/>
              </w:rPr>
              <w:t>2 1 пол</w:t>
            </w: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778" w:rsidRPr="008C5E37" w:rsidRDefault="00711BB8" w:rsidP="0010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101336">
              <w:rPr>
                <w:rFonts w:ascii="Arial" w:hAnsi="Arial" w:cs="Arial"/>
                <w:b/>
                <w:sz w:val="16"/>
                <w:szCs w:val="16"/>
              </w:rPr>
              <w:t>1 1 пол</w:t>
            </w: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6778" w:rsidRDefault="006B3283" w:rsidP="006B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Изм.</w:t>
            </w:r>
          </w:p>
        </w:tc>
      </w:tr>
      <w:tr w:rsidR="00F01AE4" w:rsidRPr="008C5E37" w:rsidTr="00E56042">
        <w:trPr>
          <w:trHeight w:val="300"/>
        </w:trPr>
        <w:tc>
          <w:tcPr>
            <w:tcW w:w="2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284011" w:rsidRDefault="00F01AE4" w:rsidP="00711B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Чистая прибыль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8C5E37" w:rsidRDefault="00101336" w:rsidP="0071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AE4" w:rsidRPr="008C5E37" w:rsidRDefault="00101336" w:rsidP="0071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- 453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AE4" w:rsidRPr="008C5E37" w:rsidRDefault="00101336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</w:tr>
      <w:tr w:rsidR="00F01AE4" w:rsidRPr="008C5E37" w:rsidTr="00E56042">
        <w:trPr>
          <w:trHeight w:val="315"/>
        </w:trPr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AE4" w:rsidRPr="008C5E37" w:rsidRDefault="00F01AE4" w:rsidP="00711B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EBIT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AE4" w:rsidRPr="008C5E37" w:rsidRDefault="00101336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1 206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AE4" w:rsidRPr="008C5E37" w:rsidRDefault="00101336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AE4" w:rsidRPr="008C5E37" w:rsidRDefault="00101336" w:rsidP="00582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</w:tr>
      <w:tr w:rsidR="00F01AE4" w:rsidRPr="008C5E37" w:rsidTr="00E56042">
        <w:trPr>
          <w:trHeight w:val="315"/>
        </w:trPr>
        <w:tc>
          <w:tcPr>
            <w:tcW w:w="21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01AE4" w:rsidRPr="00711BB8" w:rsidRDefault="00F01AE4" w:rsidP="00711BB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EBITDA</w:t>
            </w:r>
          </w:p>
        </w:tc>
        <w:tc>
          <w:tcPr>
            <w:tcW w:w="9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01AE4" w:rsidRDefault="00101336" w:rsidP="00711B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2 948</w:t>
            </w:r>
          </w:p>
        </w:tc>
        <w:tc>
          <w:tcPr>
            <w:tcW w:w="9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01AE4" w:rsidRDefault="00101336" w:rsidP="00582C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</w:t>
            </w:r>
          </w:p>
        </w:tc>
        <w:tc>
          <w:tcPr>
            <w:tcW w:w="95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01AE4" w:rsidRDefault="00101336" w:rsidP="00582C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1 812</w:t>
            </w:r>
          </w:p>
        </w:tc>
      </w:tr>
    </w:tbl>
    <w:p w:rsidR="00E56042" w:rsidRDefault="00E56042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3486" w:rsidRPr="009C3486" w:rsidRDefault="0028401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Показатель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EBIT</w:t>
      </w:r>
      <w:r w:rsidRPr="0028401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(прибыль до вычета процентов и налогов) по итогам 202</w:t>
      </w:r>
      <w:r w:rsidR="00101336">
        <w:rPr>
          <w:rFonts w:ascii="Times New Roman" w:hAnsi="Times New Roman" w:cs="Times New Roman"/>
          <w:i/>
          <w:sz w:val="24"/>
          <w:szCs w:val="24"/>
        </w:rPr>
        <w:t>2</w:t>
      </w:r>
      <w:r w:rsidR="00B84A12">
        <w:rPr>
          <w:rFonts w:ascii="Times New Roman" w:hAnsi="Times New Roman" w:cs="Times New Roman"/>
          <w:i/>
          <w:sz w:val="24"/>
          <w:szCs w:val="24"/>
        </w:rPr>
        <w:t xml:space="preserve"> года составил 1 206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рублей, что </w:t>
      </w:r>
      <w:r w:rsidR="00B84A12">
        <w:rPr>
          <w:rFonts w:ascii="Times New Roman" w:hAnsi="Times New Roman" w:cs="Times New Roman"/>
          <w:i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i/>
          <w:sz w:val="24"/>
          <w:szCs w:val="24"/>
        </w:rPr>
        <w:t>показателя 202</w:t>
      </w:r>
      <w:r w:rsidR="00B84A1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на </w:t>
      </w:r>
      <w:r w:rsidR="00B84A12">
        <w:rPr>
          <w:rFonts w:ascii="Times New Roman" w:hAnsi="Times New Roman" w:cs="Times New Roman"/>
          <w:i/>
          <w:sz w:val="24"/>
          <w:szCs w:val="24"/>
        </w:rPr>
        <w:t>1 126</w:t>
      </w:r>
      <w:r>
        <w:rPr>
          <w:rFonts w:ascii="Times New Roman" w:hAnsi="Times New Roman" w:cs="Times New Roman"/>
          <w:i/>
          <w:sz w:val="24"/>
          <w:szCs w:val="24"/>
        </w:rPr>
        <w:t xml:space="preserve"> млн рублей. </w:t>
      </w:r>
      <w:r w:rsidR="009C3486">
        <w:rPr>
          <w:rFonts w:ascii="Times New Roman" w:hAnsi="Times New Roman" w:cs="Times New Roman"/>
          <w:i/>
          <w:sz w:val="24"/>
          <w:szCs w:val="24"/>
        </w:rPr>
        <w:t xml:space="preserve">При этом показатель </w:t>
      </w:r>
      <w:r w:rsidR="009C3486">
        <w:rPr>
          <w:rFonts w:ascii="Times New Roman" w:hAnsi="Times New Roman" w:cs="Times New Roman"/>
          <w:i/>
          <w:sz w:val="24"/>
          <w:szCs w:val="24"/>
          <w:lang w:val="en-US"/>
        </w:rPr>
        <w:t>EBITDA</w:t>
      </w:r>
      <w:r w:rsidR="009C3486" w:rsidRPr="009C3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486">
        <w:rPr>
          <w:rFonts w:ascii="Times New Roman" w:hAnsi="Times New Roman" w:cs="Times New Roman"/>
          <w:i/>
          <w:sz w:val="24"/>
          <w:szCs w:val="24"/>
        </w:rPr>
        <w:t>(</w:t>
      </w:r>
      <w:r w:rsidR="009C3486" w:rsidRPr="009C3486">
        <w:rPr>
          <w:rFonts w:ascii="Times New Roman" w:hAnsi="Times New Roman" w:cs="Times New Roman"/>
          <w:i/>
          <w:sz w:val="24"/>
          <w:szCs w:val="24"/>
        </w:rPr>
        <w:t>прибыл</w:t>
      </w:r>
      <w:r w:rsidR="009C3486">
        <w:rPr>
          <w:rFonts w:ascii="Times New Roman" w:hAnsi="Times New Roman" w:cs="Times New Roman"/>
          <w:i/>
          <w:sz w:val="24"/>
          <w:szCs w:val="24"/>
        </w:rPr>
        <w:t>ь</w:t>
      </w:r>
      <w:r w:rsidR="009C3486" w:rsidRPr="009C3486">
        <w:rPr>
          <w:rFonts w:ascii="Times New Roman" w:hAnsi="Times New Roman" w:cs="Times New Roman"/>
          <w:i/>
          <w:sz w:val="24"/>
          <w:szCs w:val="24"/>
        </w:rPr>
        <w:t xml:space="preserve"> до вычета процентов, налогов и начисленной амортизации</w:t>
      </w:r>
      <w:r w:rsidR="009C3486">
        <w:rPr>
          <w:rFonts w:ascii="Times New Roman" w:hAnsi="Times New Roman" w:cs="Times New Roman"/>
          <w:i/>
          <w:sz w:val="24"/>
          <w:szCs w:val="24"/>
        </w:rPr>
        <w:t xml:space="preserve">) увеличился на </w:t>
      </w:r>
      <w:r w:rsidR="00B84A12">
        <w:rPr>
          <w:rFonts w:ascii="Times New Roman" w:hAnsi="Times New Roman" w:cs="Times New Roman"/>
          <w:i/>
          <w:sz w:val="24"/>
          <w:szCs w:val="24"/>
        </w:rPr>
        <w:t>1 812</w:t>
      </w:r>
      <w:r w:rsidR="009C34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C3486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9C3486">
        <w:rPr>
          <w:rFonts w:ascii="Times New Roman" w:hAnsi="Times New Roman" w:cs="Times New Roman"/>
          <w:i/>
          <w:sz w:val="24"/>
          <w:szCs w:val="24"/>
        </w:rPr>
        <w:t xml:space="preserve"> руб</w:t>
      </w:r>
      <w:r w:rsidR="005A5CF9">
        <w:rPr>
          <w:rFonts w:ascii="Times New Roman" w:hAnsi="Times New Roman" w:cs="Times New Roman"/>
          <w:i/>
          <w:sz w:val="24"/>
          <w:szCs w:val="24"/>
        </w:rPr>
        <w:t>лей</w:t>
      </w:r>
      <w:r w:rsidR="009C3486">
        <w:rPr>
          <w:rFonts w:ascii="Times New Roman" w:hAnsi="Times New Roman" w:cs="Times New Roman"/>
          <w:i/>
          <w:sz w:val="24"/>
          <w:szCs w:val="24"/>
        </w:rPr>
        <w:t xml:space="preserve"> и составил </w:t>
      </w:r>
      <w:r w:rsidR="00B84A12">
        <w:rPr>
          <w:rFonts w:ascii="Times New Roman" w:hAnsi="Times New Roman" w:cs="Times New Roman"/>
          <w:i/>
          <w:sz w:val="24"/>
          <w:szCs w:val="24"/>
        </w:rPr>
        <w:t>2 948</w:t>
      </w:r>
      <w:r w:rsidR="009C3486">
        <w:rPr>
          <w:rFonts w:ascii="Times New Roman" w:hAnsi="Times New Roman" w:cs="Times New Roman"/>
          <w:i/>
          <w:sz w:val="24"/>
          <w:szCs w:val="24"/>
        </w:rPr>
        <w:t xml:space="preserve"> млн</w:t>
      </w:r>
      <w:r w:rsidR="005A5CF9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9C3486">
        <w:rPr>
          <w:rFonts w:ascii="Times New Roman" w:hAnsi="Times New Roman" w:cs="Times New Roman"/>
          <w:i/>
          <w:sz w:val="24"/>
          <w:szCs w:val="24"/>
        </w:rPr>
        <w:t>.</w:t>
      </w:r>
    </w:p>
    <w:p w:rsidR="00426C2F" w:rsidRDefault="00E56042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61BD1" w:rsidRDefault="00961BD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A6B" w:rsidRDefault="00455A6B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9F40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CF9" w:rsidRDefault="005A5CF9" w:rsidP="00543ADC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6F82" w:rsidRPr="00C86F82" w:rsidRDefault="00C86F82" w:rsidP="00543ADC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F82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Структура и динамика обязательств</w:t>
      </w:r>
    </w:p>
    <w:p w:rsidR="00455A6B" w:rsidRPr="000605E9" w:rsidRDefault="00C86F82" w:rsidP="00455A6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82">
        <w:rPr>
          <w:rFonts w:ascii="Times New Roman" w:hAnsi="Times New Roman" w:cs="Times New Roman"/>
          <w:i/>
          <w:sz w:val="24"/>
          <w:szCs w:val="24"/>
        </w:rPr>
        <w:tab/>
      </w:r>
      <w:r w:rsidR="000605E9" w:rsidRPr="000605E9">
        <w:rPr>
          <w:rFonts w:ascii="Times New Roman" w:hAnsi="Times New Roman" w:cs="Times New Roman"/>
          <w:i/>
          <w:sz w:val="24"/>
          <w:szCs w:val="24"/>
        </w:rPr>
        <w:tab/>
      </w:r>
      <w:r w:rsidR="00455A6B" w:rsidRPr="000605E9">
        <w:rPr>
          <w:rFonts w:ascii="Times New Roman" w:hAnsi="Times New Roman" w:cs="Times New Roman"/>
          <w:i/>
          <w:sz w:val="24"/>
          <w:szCs w:val="24"/>
        </w:rPr>
        <w:t xml:space="preserve">Дебиторская задолженность по состоянию на 30.06.2022 г. составила 4 448 </w:t>
      </w:r>
      <w:proofErr w:type="gramStart"/>
      <w:r w:rsidR="00455A6B" w:rsidRPr="000605E9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455A6B" w:rsidRPr="000605E9">
        <w:rPr>
          <w:rFonts w:ascii="Times New Roman" w:hAnsi="Times New Roman" w:cs="Times New Roman"/>
          <w:i/>
          <w:sz w:val="24"/>
          <w:szCs w:val="24"/>
        </w:rPr>
        <w:t xml:space="preserve"> рублей, по сравнению с аналогичным периодом прошлого года увеличился на </w:t>
      </w:r>
      <w:r w:rsidR="00455A6B">
        <w:rPr>
          <w:rFonts w:ascii="Times New Roman" w:hAnsi="Times New Roman" w:cs="Times New Roman"/>
          <w:i/>
          <w:sz w:val="24"/>
          <w:szCs w:val="24"/>
        </w:rPr>
        <w:t>20</w:t>
      </w:r>
      <w:r w:rsidR="00455A6B" w:rsidRPr="000605E9">
        <w:rPr>
          <w:rFonts w:ascii="Times New Roman" w:hAnsi="Times New Roman" w:cs="Times New Roman"/>
          <w:i/>
          <w:sz w:val="24"/>
          <w:szCs w:val="24"/>
        </w:rPr>
        <w:t>%</w:t>
      </w:r>
      <w:r w:rsidR="00455A6B">
        <w:rPr>
          <w:rFonts w:ascii="Times New Roman" w:hAnsi="Times New Roman" w:cs="Times New Roman"/>
          <w:i/>
          <w:sz w:val="24"/>
          <w:szCs w:val="24"/>
        </w:rPr>
        <w:t>. Увеличение произошло за счет выданных авансовых платежей в связи с удорожанием топлива, авансированием опережающего завоза топливно-энергетических ресурсов в навигацию.</w:t>
      </w:r>
    </w:p>
    <w:p w:rsidR="000605E9" w:rsidRDefault="000605E9" w:rsidP="00961BD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5E9">
        <w:rPr>
          <w:rFonts w:ascii="Times New Roman" w:hAnsi="Times New Roman" w:cs="Times New Roman"/>
          <w:i/>
          <w:sz w:val="24"/>
          <w:szCs w:val="24"/>
        </w:rPr>
        <w:tab/>
        <w:t>Кредиторская задолженность предприятия на 30.06.2022</w:t>
      </w:r>
      <w:r w:rsidR="005A5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5E9">
        <w:rPr>
          <w:rFonts w:ascii="Times New Roman" w:hAnsi="Times New Roman" w:cs="Times New Roman"/>
          <w:i/>
          <w:sz w:val="24"/>
          <w:szCs w:val="24"/>
        </w:rPr>
        <w:t xml:space="preserve">г. составила 2 822 </w:t>
      </w:r>
      <w:proofErr w:type="gramStart"/>
      <w:r w:rsidRPr="000605E9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Pr="000605E9">
        <w:rPr>
          <w:rFonts w:ascii="Times New Roman" w:hAnsi="Times New Roman" w:cs="Times New Roman"/>
          <w:i/>
          <w:sz w:val="24"/>
          <w:szCs w:val="24"/>
        </w:rPr>
        <w:t xml:space="preserve"> рублей, снизившись по сравнению с аналогичным периодом прошлого года на 20,</w:t>
      </w:r>
      <w:r w:rsidR="00751B0E">
        <w:rPr>
          <w:rFonts w:ascii="Times New Roman" w:hAnsi="Times New Roman" w:cs="Times New Roman"/>
          <w:i/>
          <w:sz w:val="24"/>
          <w:szCs w:val="24"/>
        </w:rPr>
        <w:t>1</w:t>
      </w:r>
      <w:r w:rsidR="00961BD1">
        <w:rPr>
          <w:rFonts w:ascii="Times New Roman" w:hAnsi="Times New Roman" w:cs="Times New Roman"/>
          <w:i/>
          <w:sz w:val="24"/>
          <w:szCs w:val="24"/>
        </w:rPr>
        <w:t>%.</w:t>
      </w:r>
    </w:p>
    <w:p w:rsidR="00961BD1" w:rsidRDefault="00961BD1" w:rsidP="00961BD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F82" w:rsidRPr="00B84A12" w:rsidRDefault="00C86F82" w:rsidP="000605E9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szCs w:val="24"/>
          <w:highlight w:val="yellow"/>
        </w:rPr>
      </w:pPr>
      <w:r w:rsidRPr="000605E9">
        <w:rPr>
          <w:rFonts w:ascii="Times New Roman" w:hAnsi="Times New Roman" w:cs="Times New Roman"/>
          <w:i/>
          <w:szCs w:val="24"/>
        </w:rPr>
        <w:t>Таблица №4</w:t>
      </w:r>
      <w:r w:rsidR="00E71564" w:rsidRPr="000605E9">
        <w:rPr>
          <w:rFonts w:ascii="Times New Roman" w:hAnsi="Times New Roman" w:cs="Times New Roman"/>
          <w:i/>
          <w:szCs w:val="24"/>
        </w:rPr>
        <w:t xml:space="preserve">. Обязательства </w:t>
      </w:r>
      <w:r w:rsidR="000605E9" w:rsidRPr="000605E9">
        <w:rPr>
          <w:rFonts w:ascii="Times New Roman" w:hAnsi="Times New Roman" w:cs="Times New Roman"/>
          <w:i/>
          <w:szCs w:val="24"/>
        </w:rPr>
        <w:t xml:space="preserve">1 полугодия </w:t>
      </w:r>
      <w:r w:rsidR="00E71564" w:rsidRPr="000605E9">
        <w:rPr>
          <w:rFonts w:ascii="Times New Roman" w:hAnsi="Times New Roman" w:cs="Times New Roman"/>
          <w:i/>
          <w:szCs w:val="24"/>
        </w:rPr>
        <w:t>202</w:t>
      </w:r>
      <w:r w:rsidR="00961BD1">
        <w:rPr>
          <w:rFonts w:ascii="Times New Roman" w:hAnsi="Times New Roman" w:cs="Times New Roman"/>
          <w:i/>
          <w:szCs w:val="24"/>
        </w:rPr>
        <w:t>2</w:t>
      </w:r>
      <w:r w:rsidR="00E71564" w:rsidRPr="000605E9">
        <w:rPr>
          <w:rFonts w:ascii="Times New Roman" w:hAnsi="Times New Roman" w:cs="Times New Roman"/>
          <w:i/>
          <w:szCs w:val="24"/>
        </w:rPr>
        <w:t>-202</w:t>
      </w:r>
      <w:r w:rsidR="00961BD1">
        <w:rPr>
          <w:rFonts w:ascii="Times New Roman" w:hAnsi="Times New Roman" w:cs="Times New Roman"/>
          <w:i/>
          <w:szCs w:val="24"/>
        </w:rPr>
        <w:t>1</w:t>
      </w:r>
      <w:r w:rsidR="000C1913">
        <w:rPr>
          <w:rFonts w:ascii="Times New Roman" w:hAnsi="Times New Roman" w:cs="Times New Roman"/>
          <w:i/>
          <w:szCs w:val="24"/>
        </w:rPr>
        <w:t xml:space="preserve"> гг. (</w:t>
      </w:r>
      <w:proofErr w:type="gramStart"/>
      <w:r w:rsidR="000C1913">
        <w:rPr>
          <w:rFonts w:ascii="Times New Roman" w:hAnsi="Times New Roman" w:cs="Times New Roman"/>
          <w:i/>
          <w:szCs w:val="24"/>
        </w:rPr>
        <w:t>млн</w:t>
      </w:r>
      <w:proofErr w:type="gramEnd"/>
      <w:r w:rsidRPr="000605E9">
        <w:rPr>
          <w:rFonts w:ascii="Times New Roman" w:hAnsi="Times New Roman" w:cs="Times New Roman"/>
          <w:i/>
          <w:szCs w:val="24"/>
        </w:rPr>
        <w:t xml:space="preserve">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8"/>
        <w:gridCol w:w="1742"/>
        <w:gridCol w:w="1741"/>
        <w:gridCol w:w="1161"/>
      </w:tblGrid>
      <w:tr w:rsidR="00961BD1" w:rsidRPr="00961BD1" w:rsidTr="00961BD1">
        <w:trPr>
          <w:trHeight w:val="465"/>
        </w:trPr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1 пол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1 пол.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1BD1" w:rsidRPr="00961BD1" w:rsidTr="00961BD1">
        <w:trPr>
          <w:trHeight w:val="300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Банковские кредиты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4 156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86,3</w:t>
            </w:r>
          </w:p>
        </w:tc>
      </w:tr>
      <w:tr w:rsidR="00961BD1" w:rsidRPr="00961BD1" w:rsidTr="00961BD1">
        <w:trPr>
          <w:trHeight w:val="300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221,5</w:t>
            </w:r>
          </w:p>
        </w:tc>
      </w:tr>
      <w:tr w:rsidR="00961BD1" w:rsidRPr="00961BD1" w:rsidTr="00961BD1">
        <w:trPr>
          <w:trHeight w:val="300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Облигационный заем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100,3</w:t>
            </w:r>
          </w:p>
        </w:tc>
      </w:tr>
      <w:tr w:rsidR="00961BD1" w:rsidRPr="00961BD1" w:rsidTr="00961BD1">
        <w:trPr>
          <w:trHeight w:val="315"/>
        </w:trPr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долгосрочные кредиты и займы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10 686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113,9</w:t>
            </w:r>
          </w:p>
        </w:tc>
      </w:tr>
      <w:tr w:rsidR="00961BD1" w:rsidRPr="00961BD1" w:rsidTr="00961BD1">
        <w:trPr>
          <w:trHeight w:val="300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Банковские кредиты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129,9</w:t>
            </w:r>
          </w:p>
        </w:tc>
      </w:tr>
      <w:tr w:rsidR="00961BD1" w:rsidRPr="00961BD1" w:rsidTr="00961BD1">
        <w:trPr>
          <w:trHeight w:val="300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  <w:tr w:rsidR="00961BD1" w:rsidRPr="00961BD1" w:rsidTr="00961BD1">
        <w:trPr>
          <w:trHeight w:val="300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Вексельные займы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61BD1" w:rsidRPr="00961BD1" w:rsidTr="00961BD1">
        <w:trPr>
          <w:trHeight w:val="300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Факторинг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</w:t>
            </w:r>
          </w:p>
        </w:tc>
      </w:tr>
      <w:tr w:rsidR="00961BD1" w:rsidRPr="00961BD1" w:rsidTr="00961BD1">
        <w:trPr>
          <w:trHeight w:val="435"/>
        </w:trPr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краткосрочные кредиты и займы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11 445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11 661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98,2</w:t>
            </w:r>
          </w:p>
        </w:tc>
      </w:tr>
      <w:tr w:rsidR="00961BD1" w:rsidRPr="00961BD1" w:rsidTr="00961BD1">
        <w:trPr>
          <w:trHeight w:val="315"/>
        </w:trPr>
        <w:tc>
          <w:tcPr>
            <w:tcW w:w="2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1B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61BD1" w:rsidRPr="00961BD1" w:rsidTr="00961BD1">
        <w:trPr>
          <w:trHeight w:val="300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кредиты и займы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22 131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21 046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BD1" w:rsidRPr="00961BD1" w:rsidRDefault="00961BD1" w:rsidP="009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61B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105,2</w:t>
            </w:r>
          </w:p>
        </w:tc>
      </w:tr>
    </w:tbl>
    <w:p w:rsidR="00C86F82" w:rsidRPr="00B84A12" w:rsidRDefault="00C86F82" w:rsidP="00C86F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51D9" w:rsidRDefault="00C86F82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7EF">
        <w:rPr>
          <w:rFonts w:ascii="Times New Roman" w:hAnsi="Times New Roman" w:cs="Times New Roman"/>
          <w:i/>
          <w:sz w:val="24"/>
          <w:szCs w:val="24"/>
        </w:rPr>
        <w:tab/>
        <w:t>Кредиты и займы по состоянию на 3</w:t>
      </w:r>
      <w:r w:rsidR="003227EF" w:rsidRPr="003227EF">
        <w:rPr>
          <w:rFonts w:ascii="Times New Roman" w:hAnsi="Times New Roman" w:cs="Times New Roman"/>
          <w:i/>
          <w:sz w:val="24"/>
          <w:szCs w:val="24"/>
        </w:rPr>
        <w:t>0</w:t>
      </w:r>
      <w:r w:rsidRPr="003227EF">
        <w:rPr>
          <w:rFonts w:ascii="Times New Roman" w:hAnsi="Times New Roman" w:cs="Times New Roman"/>
          <w:i/>
          <w:sz w:val="24"/>
          <w:szCs w:val="24"/>
        </w:rPr>
        <w:t>.</w:t>
      </w:r>
      <w:r w:rsidR="003227EF" w:rsidRPr="003227EF">
        <w:rPr>
          <w:rFonts w:ascii="Times New Roman" w:hAnsi="Times New Roman" w:cs="Times New Roman"/>
          <w:i/>
          <w:sz w:val="24"/>
          <w:szCs w:val="24"/>
        </w:rPr>
        <w:t>06</w:t>
      </w:r>
      <w:r w:rsidR="00D651A5" w:rsidRPr="003227EF">
        <w:rPr>
          <w:rFonts w:ascii="Times New Roman" w:hAnsi="Times New Roman" w:cs="Times New Roman"/>
          <w:i/>
          <w:sz w:val="24"/>
          <w:szCs w:val="24"/>
        </w:rPr>
        <w:t>.202</w:t>
      </w:r>
      <w:r w:rsidR="003227EF" w:rsidRPr="003227EF">
        <w:rPr>
          <w:rFonts w:ascii="Times New Roman" w:hAnsi="Times New Roman" w:cs="Times New Roman"/>
          <w:i/>
          <w:sz w:val="24"/>
          <w:szCs w:val="24"/>
        </w:rPr>
        <w:t>2</w:t>
      </w:r>
      <w:r w:rsidR="00D651A5" w:rsidRPr="003227EF">
        <w:rPr>
          <w:rFonts w:ascii="Times New Roman" w:hAnsi="Times New Roman" w:cs="Times New Roman"/>
          <w:i/>
          <w:sz w:val="24"/>
          <w:szCs w:val="24"/>
        </w:rPr>
        <w:t xml:space="preserve"> г. составили 2</w:t>
      </w:r>
      <w:r w:rsidR="003227EF" w:rsidRPr="003227EF">
        <w:rPr>
          <w:rFonts w:ascii="Times New Roman" w:hAnsi="Times New Roman" w:cs="Times New Roman"/>
          <w:i/>
          <w:sz w:val="24"/>
          <w:szCs w:val="24"/>
        </w:rPr>
        <w:t>2 131</w:t>
      </w:r>
      <w:r w:rsidR="00D651A5" w:rsidRPr="00322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651A5" w:rsidRPr="003227EF"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 w:rsidR="00D651A5" w:rsidRPr="00322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7EF">
        <w:rPr>
          <w:rFonts w:ascii="Times New Roman" w:hAnsi="Times New Roman" w:cs="Times New Roman"/>
          <w:i/>
          <w:sz w:val="24"/>
          <w:szCs w:val="24"/>
        </w:rPr>
        <w:t>рублей</w:t>
      </w:r>
      <w:r w:rsidR="00C651D9">
        <w:rPr>
          <w:rFonts w:ascii="Times New Roman" w:hAnsi="Times New Roman" w:cs="Times New Roman"/>
          <w:i/>
          <w:sz w:val="24"/>
          <w:szCs w:val="24"/>
        </w:rPr>
        <w:t>,</w:t>
      </w:r>
      <w:r w:rsidRPr="003227EF">
        <w:rPr>
          <w:rFonts w:ascii="Times New Roman" w:hAnsi="Times New Roman" w:cs="Times New Roman"/>
          <w:i/>
          <w:sz w:val="24"/>
          <w:szCs w:val="24"/>
        </w:rPr>
        <w:t xml:space="preserve"> по сравнению с аналогичным периодом прошлого года </w:t>
      </w:r>
      <w:r w:rsidR="003227EF" w:rsidRPr="003227EF">
        <w:rPr>
          <w:rFonts w:ascii="Times New Roman" w:hAnsi="Times New Roman" w:cs="Times New Roman"/>
          <w:i/>
          <w:sz w:val="24"/>
          <w:szCs w:val="24"/>
        </w:rPr>
        <w:t>увеличились</w:t>
      </w:r>
      <w:r w:rsidRPr="003227E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3227EF" w:rsidRPr="003227EF">
        <w:rPr>
          <w:rFonts w:ascii="Times New Roman" w:hAnsi="Times New Roman" w:cs="Times New Roman"/>
          <w:i/>
          <w:sz w:val="24"/>
          <w:szCs w:val="24"/>
        </w:rPr>
        <w:t>5,2</w:t>
      </w:r>
      <w:r w:rsidRPr="003227EF">
        <w:rPr>
          <w:rFonts w:ascii="Times New Roman" w:hAnsi="Times New Roman" w:cs="Times New Roman"/>
          <w:i/>
          <w:sz w:val="24"/>
          <w:szCs w:val="24"/>
        </w:rPr>
        <w:t>%.</w:t>
      </w:r>
      <w:r w:rsidR="00C651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6F82" w:rsidRDefault="00C651D9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227EF">
        <w:rPr>
          <w:rFonts w:ascii="Times New Roman" w:hAnsi="Times New Roman" w:cs="Times New Roman"/>
          <w:i/>
          <w:sz w:val="24"/>
          <w:szCs w:val="24"/>
        </w:rPr>
        <w:t xml:space="preserve">Увеличение объясняется реструктуризацией бюджетных кредитов, подлежащих к возврату  в 1 квартале 2022 года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сумму 1 430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рублей, при этом существенно уменьшены краткосрочные заимствования с высокой процентной ставкой, </w:t>
      </w:r>
      <w:r w:rsidRPr="00C651D9">
        <w:rPr>
          <w:rFonts w:ascii="Times New Roman" w:hAnsi="Times New Roman" w:cs="Times New Roman"/>
          <w:i/>
          <w:sz w:val="24"/>
          <w:szCs w:val="24"/>
        </w:rPr>
        <w:t>краткосрочны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C86F82" w:rsidRPr="00C651D9">
        <w:rPr>
          <w:rFonts w:ascii="Times New Roman" w:hAnsi="Times New Roman" w:cs="Times New Roman"/>
          <w:i/>
          <w:sz w:val="24"/>
          <w:szCs w:val="24"/>
        </w:rPr>
        <w:t xml:space="preserve"> вексельны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C86F82" w:rsidRPr="00C651D9">
        <w:rPr>
          <w:rFonts w:ascii="Times New Roman" w:hAnsi="Times New Roman" w:cs="Times New Roman"/>
          <w:i/>
          <w:sz w:val="24"/>
          <w:szCs w:val="24"/>
        </w:rPr>
        <w:t xml:space="preserve"> займ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C86F82" w:rsidRPr="00C651D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651D9">
        <w:rPr>
          <w:rFonts w:ascii="Times New Roman" w:hAnsi="Times New Roman" w:cs="Times New Roman"/>
          <w:i/>
          <w:sz w:val="24"/>
          <w:szCs w:val="24"/>
        </w:rPr>
        <w:t>факторинг</w:t>
      </w:r>
      <w:r w:rsidR="00FA6E99">
        <w:rPr>
          <w:rFonts w:ascii="Times New Roman" w:hAnsi="Times New Roman" w:cs="Times New Roman"/>
          <w:i/>
          <w:sz w:val="24"/>
          <w:szCs w:val="24"/>
        </w:rPr>
        <w:t>, что значительно снижают затраты по обслуживанию заемных средств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61BD1" w:rsidRDefault="00961BD1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BD1" w:rsidRDefault="00961BD1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9EE" w:rsidRPr="00C86F82" w:rsidRDefault="00A969EE" w:rsidP="00A969EE">
      <w:pPr>
        <w:tabs>
          <w:tab w:val="left" w:pos="567"/>
        </w:tabs>
        <w:spacing w:before="240"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C86F82">
        <w:rPr>
          <w:rFonts w:ascii="Times New Roman" w:hAnsi="Times New Roman" w:cs="Times New Roman"/>
          <w:i/>
          <w:szCs w:val="24"/>
        </w:rPr>
        <w:lastRenderedPageBreak/>
        <w:t xml:space="preserve">Таблица №5. Долговая нагрузка </w:t>
      </w:r>
      <w:r>
        <w:rPr>
          <w:rFonts w:ascii="Times New Roman" w:hAnsi="Times New Roman" w:cs="Times New Roman"/>
          <w:i/>
          <w:szCs w:val="24"/>
        </w:rPr>
        <w:t xml:space="preserve">1 полугодия </w:t>
      </w:r>
      <w:r w:rsidRPr="00C86F82">
        <w:rPr>
          <w:rFonts w:ascii="Times New Roman" w:hAnsi="Times New Roman" w:cs="Times New Roman"/>
          <w:i/>
          <w:szCs w:val="24"/>
        </w:rPr>
        <w:t>202</w:t>
      </w:r>
      <w:r>
        <w:rPr>
          <w:rFonts w:ascii="Times New Roman" w:hAnsi="Times New Roman" w:cs="Times New Roman"/>
          <w:i/>
          <w:szCs w:val="24"/>
        </w:rPr>
        <w:t>2</w:t>
      </w:r>
      <w:r w:rsidRPr="00C86F82">
        <w:rPr>
          <w:rFonts w:ascii="Times New Roman" w:hAnsi="Times New Roman" w:cs="Times New Roman"/>
          <w:i/>
          <w:szCs w:val="24"/>
        </w:rPr>
        <w:t>-2021 гг. (</w:t>
      </w:r>
      <w:proofErr w:type="gramStart"/>
      <w:r>
        <w:rPr>
          <w:rFonts w:ascii="Times New Roman" w:hAnsi="Times New Roman" w:cs="Times New Roman"/>
          <w:i/>
          <w:szCs w:val="24"/>
        </w:rPr>
        <w:t>млн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</w:t>
      </w:r>
      <w:r w:rsidRPr="00C86F82">
        <w:rPr>
          <w:rFonts w:ascii="Times New Roman" w:hAnsi="Times New Roman" w:cs="Times New Roman"/>
          <w:i/>
          <w:szCs w:val="24"/>
        </w:rPr>
        <w:t>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0"/>
        <w:gridCol w:w="1418"/>
        <w:gridCol w:w="1418"/>
        <w:gridCol w:w="1416"/>
      </w:tblGrid>
      <w:tr w:rsidR="00A969EE" w:rsidRPr="00A969EE" w:rsidTr="00543ADC">
        <w:trPr>
          <w:trHeight w:val="525"/>
        </w:trPr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 ПГ 2022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 ПГ 2021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A969EE" w:rsidRPr="00A969EE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Чистая прибыль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-453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825</w:t>
            </w:r>
          </w:p>
        </w:tc>
      </w:tr>
      <w:tr w:rsidR="00A969EE" w:rsidRPr="00A969EE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 xml:space="preserve"> +Налог на прибыль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969EE" w:rsidRPr="00A969EE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 xml:space="preserve"> -Возмещенный налог на прибыль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969EE" w:rsidRPr="00A969EE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 xml:space="preserve"> +Проценты к уплате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</w:tr>
      <w:tr w:rsidR="00A969EE" w:rsidRPr="00A969EE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 xml:space="preserve"> -Проценты полученные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A969EE" w:rsidRPr="00A969EE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 xml:space="preserve"> +Амортизация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1 743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685</w:t>
            </w:r>
          </w:p>
        </w:tc>
      </w:tr>
      <w:tr w:rsidR="00A969EE" w:rsidRPr="00A969EE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EBIT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1 206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1 126</w:t>
            </w:r>
          </w:p>
        </w:tc>
      </w:tr>
      <w:tr w:rsidR="00A969EE" w:rsidRPr="00A969EE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EBITDA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2 948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1 137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1 812</w:t>
            </w:r>
          </w:p>
        </w:tc>
      </w:tr>
      <w:tr w:rsidR="00A969EE" w:rsidRPr="00A969EE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Долгосрочные заемные обязательства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11 948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9 489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2 459</w:t>
            </w:r>
          </w:p>
        </w:tc>
      </w:tr>
      <w:tr w:rsidR="00A969EE" w:rsidRPr="00A969EE" w:rsidTr="00543ADC">
        <w:trPr>
          <w:trHeight w:val="285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Краткосрочные заемные обязательства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15 301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17 028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-1 727</w:t>
            </w:r>
          </w:p>
        </w:tc>
      </w:tr>
      <w:tr w:rsidR="00A969EE" w:rsidRPr="00A969EE" w:rsidTr="00543ADC">
        <w:trPr>
          <w:trHeight w:val="300"/>
        </w:trPr>
        <w:tc>
          <w:tcPr>
            <w:tcW w:w="270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Итого обязательства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27 249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26 517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732</w:t>
            </w:r>
          </w:p>
        </w:tc>
      </w:tr>
      <w:tr w:rsidR="00A969EE" w:rsidRPr="00A969EE" w:rsidTr="00543ADC">
        <w:trPr>
          <w:trHeight w:val="315"/>
        </w:trPr>
        <w:tc>
          <w:tcPr>
            <w:tcW w:w="27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DEBT / EBITDA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-14,1</w:t>
            </w:r>
          </w:p>
        </w:tc>
      </w:tr>
      <w:tr w:rsidR="00A969EE" w:rsidRPr="00A969EE" w:rsidTr="00543ADC">
        <w:trPr>
          <w:trHeight w:val="315"/>
        </w:trPr>
        <w:tc>
          <w:tcPr>
            <w:tcW w:w="270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 и их эквиваленты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2 041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1 239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A969EE" w:rsidRPr="00A969EE" w:rsidTr="00543ADC">
        <w:trPr>
          <w:trHeight w:val="315"/>
        </w:trPr>
        <w:tc>
          <w:tcPr>
            <w:tcW w:w="27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Чистый долг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25 207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25 278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-70,6</w:t>
            </w:r>
          </w:p>
        </w:tc>
      </w:tr>
      <w:tr w:rsidR="00A969EE" w:rsidRPr="00A969EE" w:rsidTr="00543ADC">
        <w:trPr>
          <w:trHeight w:val="300"/>
        </w:trPr>
        <w:tc>
          <w:tcPr>
            <w:tcW w:w="2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7 803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5 913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1 891</w:t>
            </w:r>
          </w:p>
        </w:tc>
      </w:tr>
      <w:tr w:rsidR="00A969EE" w:rsidRPr="00A969EE" w:rsidTr="00543ADC">
        <w:trPr>
          <w:trHeight w:val="300"/>
        </w:trPr>
        <w:tc>
          <w:tcPr>
            <w:tcW w:w="270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Скорректированный ДОЛГ (с вычетом </w:t>
            </w:r>
            <w:proofErr w:type="spellStart"/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бюджетнык</w:t>
            </w:r>
            <w:proofErr w:type="spellEnd"/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кредитов)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19 446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20 604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-1 159</w:t>
            </w:r>
          </w:p>
        </w:tc>
      </w:tr>
      <w:tr w:rsidR="00A969EE" w:rsidRPr="00A969EE" w:rsidTr="00543ADC">
        <w:trPr>
          <w:trHeight w:val="315"/>
        </w:trPr>
        <w:tc>
          <w:tcPr>
            <w:tcW w:w="27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DEBT / EBITDA (с вычетом бюджетных кредитов)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9EE" w:rsidRPr="00A969EE" w:rsidRDefault="00A969EE" w:rsidP="00A969E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9E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ru-RU"/>
              </w:rPr>
              <w:t>-11,5</w:t>
            </w:r>
          </w:p>
        </w:tc>
      </w:tr>
    </w:tbl>
    <w:p w:rsidR="000D0618" w:rsidRPr="00C86F82" w:rsidRDefault="000D0618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F82" w:rsidRPr="00450E62" w:rsidRDefault="00C86F82" w:rsidP="00C86F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25E">
        <w:rPr>
          <w:rFonts w:ascii="Times New Roman" w:hAnsi="Times New Roman" w:cs="Times New Roman"/>
          <w:sz w:val="24"/>
          <w:szCs w:val="24"/>
        </w:rPr>
        <w:tab/>
      </w:r>
      <w:r w:rsidR="00D0159B">
        <w:rPr>
          <w:rFonts w:ascii="Times New Roman" w:hAnsi="Times New Roman" w:cs="Times New Roman"/>
          <w:sz w:val="24"/>
          <w:szCs w:val="24"/>
        </w:rPr>
        <w:tab/>
      </w:r>
      <w:r w:rsidRPr="00450E62">
        <w:rPr>
          <w:rFonts w:ascii="Times New Roman" w:hAnsi="Times New Roman" w:cs="Times New Roman"/>
          <w:i/>
          <w:sz w:val="24"/>
          <w:szCs w:val="24"/>
        </w:rPr>
        <w:t>Соотношение скорректированного показателя чистый долг/</w:t>
      </w:r>
      <w:r w:rsidRPr="00450E62">
        <w:rPr>
          <w:rFonts w:ascii="Times New Roman" w:hAnsi="Times New Roman" w:cs="Times New Roman"/>
          <w:i/>
          <w:sz w:val="24"/>
          <w:szCs w:val="24"/>
          <w:lang w:val="en-US"/>
        </w:rPr>
        <w:t>EBITDA</w:t>
      </w:r>
      <w:r w:rsidRPr="00450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E62" w:rsidRPr="00450E62">
        <w:rPr>
          <w:rFonts w:ascii="Times New Roman" w:hAnsi="Times New Roman" w:cs="Times New Roman"/>
          <w:i/>
          <w:sz w:val="24"/>
          <w:szCs w:val="24"/>
        </w:rPr>
        <w:t xml:space="preserve">за 1 полугодие </w:t>
      </w:r>
      <w:r w:rsidRPr="00450E62">
        <w:rPr>
          <w:rFonts w:ascii="Times New Roman" w:hAnsi="Times New Roman" w:cs="Times New Roman"/>
          <w:i/>
          <w:sz w:val="24"/>
          <w:szCs w:val="24"/>
        </w:rPr>
        <w:t>202</w:t>
      </w:r>
      <w:r w:rsidR="00FA6E99" w:rsidRPr="00450E62">
        <w:rPr>
          <w:rFonts w:ascii="Times New Roman" w:hAnsi="Times New Roman" w:cs="Times New Roman"/>
          <w:i/>
          <w:sz w:val="24"/>
          <w:szCs w:val="24"/>
        </w:rPr>
        <w:t>2</w:t>
      </w:r>
      <w:r w:rsidRPr="00450E62">
        <w:rPr>
          <w:rFonts w:ascii="Times New Roman" w:hAnsi="Times New Roman" w:cs="Times New Roman"/>
          <w:i/>
          <w:sz w:val="24"/>
          <w:szCs w:val="24"/>
        </w:rPr>
        <w:t xml:space="preserve"> (за вычетом денежных средств на балансе и бюджетных кредитов) составило </w:t>
      </w:r>
      <w:r w:rsidR="00450E62" w:rsidRPr="00450E62">
        <w:rPr>
          <w:rFonts w:ascii="Times New Roman" w:hAnsi="Times New Roman" w:cs="Times New Roman"/>
          <w:i/>
          <w:sz w:val="24"/>
          <w:szCs w:val="24"/>
        </w:rPr>
        <w:t>6,6</w:t>
      </w:r>
      <w:r w:rsidRPr="00450E62">
        <w:rPr>
          <w:rFonts w:ascii="Times New Roman" w:hAnsi="Times New Roman" w:cs="Times New Roman"/>
          <w:i/>
          <w:sz w:val="24"/>
          <w:szCs w:val="24"/>
        </w:rPr>
        <w:t xml:space="preserve">х, против величины в </w:t>
      </w:r>
      <w:r w:rsidR="00450E62" w:rsidRPr="00450E62">
        <w:rPr>
          <w:rFonts w:ascii="Times New Roman" w:hAnsi="Times New Roman" w:cs="Times New Roman"/>
          <w:i/>
          <w:sz w:val="24"/>
          <w:szCs w:val="24"/>
        </w:rPr>
        <w:t>18,1</w:t>
      </w:r>
      <w:r w:rsidRPr="00450E62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450E62" w:rsidRPr="00450E62">
        <w:rPr>
          <w:rFonts w:ascii="Times New Roman" w:hAnsi="Times New Roman" w:cs="Times New Roman"/>
          <w:i/>
          <w:sz w:val="24"/>
          <w:szCs w:val="24"/>
        </w:rPr>
        <w:t>1 полугодия прошлого года</w:t>
      </w:r>
      <w:r w:rsidRPr="00450E62">
        <w:rPr>
          <w:rFonts w:ascii="Times New Roman" w:hAnsi="Times New Roman" w:cs="Times New Roman"/>
          <w:i/>
          <w:sz w:val="24"/>
          <w:szCs w:val="24"/>
        </w:rPr>
        <w:t>,</w:t>
      </w:r>
      <w:r w:rsidR="00450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E62">
        <w:rPr>
          <w:rFonts w:ascii="Times New Roman" w:hAnsi="Times New Roman" w:cs="Times New Roman"/>
          <w:i/>
          <w:sz w:val="24"/>
          <w:szCs w:val="24"/>
        </w:rPr>
        <w:t xml:space="preserve">то есть наблюдается </w:t>
      </w:r>
      <w:r w:rsidR="00450E62" w:rsidRPr="00450E62">
        <w:rPr>
          <w:rFonts w:ascii="Times New Roman" w:hAnsi="Times New Roman" w:cs="Times New Roman"/>
          <w:i/>
          <w:sz w:val="24"/>
          <w:szCs w:val="24"/>
        </w:rPr>
        <w:t xml:space="preserve">значительное </w:t>
      </w:r>
      <w:r w:rsidRPr="00450E62">
        <w:rPr>
          <w:rFonts w:ascii="Times New Roman" w:hAnsi="Times New Roman" w:cs="Times New Roman"/>
          <w:i/>
          <w:sz w:val="24"/>
          <w:szCs w:val="24"/>
        </w:rPr>
        <w:t>улучшение данного показателя (таблица №5).</w:t>
      </w:r>
    </w:p>
    <w:p w:rsidR="00EA47A6" w:rsidRPr="00E43E65" w:rsidRDefault="00EA47A6" w:rsidP="00543A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E65">
        <w:rPr>
          <w:rFonts w:ascii="Times New Roman" w:hAnsi="Times New Roman" w:cs="Times New Roman"/>
          <w:b/>
          <w:i/>
          <w:sz w:val="24"/>
          <w:szCs w:val="24"/>
        </w:rPr>
        <w:t>Общий вывод</w:t>
      </w:r>
    </w:p>
    <w:p w:rsidR="00531FCE" w:rsidRDefault="00EA47A6" w:rsidP="00531FC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E65">
        <w:rPr>
          <w:rFonts w:ascii="Times New Roman" w:hAnsi="Times New Roman" w:cs="Times New Roman"/>
          <w:i/>
          <w:sz w:val="24"/>
          <w:szCs w:val="24"/>
        </w:rPr>
        <w:t xml:space="preserve">По результатам 1 полугодия 2022 года в целом наблюдается положительная динамика роста чистой прибыли и рентабельности, улучшения показателей </w:t>
      </w:r>
      <w:r w:rsidRPr="00E43E65">
        <w:rPr>
          <w:rFonts w:ascii="Times New Roman" w:hAnsi="Times New Roman" w:cs="Times New Roman"/>
          <w:i/>
          <w:sz w:val="24"/>
          <w:szCs w:val="24"/>
          <w:lang w:val="en-US"/>
        </w:rPr>
        <w:t>DEBT</w:t>
      </w:r>
      <w:r w:rsidRPr="00E43E65">
        <w:rPr>
          <w:rFonts w:ascii="Times New Roman" w:hAnsi="Times New Roman" w:cs="Times New Roman"/>
          <w:i/>
          <w:sz w:val="24"/>
          <w:szCs w:val="24"/>
        </w:rPr>
        <w:t>/</w:t>
      </w:r>
      <w:r w:rsidRPr="00E43E65">
        <w:rPr>
          <w:rFonts w:ascii="Times New Roman" w:hAnsi="Times New Roman" w:cs="Times New Roman"/>
          <w:i/>
          <w:sz w:val="24"/>
          <w:szCs w:val="24"/>
          <w:lang w:val="en-US"/>
        </w:rPr>
        <w:t>EBITDA</w:t>
      </w:r>
      <w:r w:rsidRPr="00E43E65">
        <w:rPr>
          <w:rFonts w:ascii="Times New Roman" w:hAnsi="Times New Roman" w:cs="Times New Roman"/>
          <w:i/>
          <w:sz w:val="24"/>
          <w:szCs w:val="24"/>
        </w:rPr>
        <w:t xml:space="preserve">. Тенденция роста достигнута за счет </w:t>
      </w:r>
      <w:r w:rsidR="00726519" w:rsidRPr="00E43E65">
        <w:rPr>
          <w:rFonts w:ascii="Times New Roman" w:hAnsi="Times New Roman" w:cs="Times New Roman"/>
          <w:i/>
          <w:sz w:val="24"/>
          <w:szCs w:val="24"/>
        </w:rPr>
        <w:t>эффективного использования ресурсного потенциал</w:t>
      </w:r>
      <w:r w:rsidRPr="00E43E65">
        <w:rPr>
          <w:rFonts w:ascii="Times New Roman" w:hAnsi="Times New Roman" w:cs="Times New Roman"/>
          <w:i/>
          <w:sz w:val="24"/>
          <w:szCs w:val="24"/>
        </w:rPr>
        <w:t>а</w:t>
      </w:r>
      <w:r w:rsidR="00726519" w:rsidRPr="00E43E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3E65">
        <w:rPr>
          <w:rFonts w:ascii="Times New Roman" w:hAnsi="Times New Roman" w:cs="Times New Roman"/>
          <w:i/>
          <w:sz w:val="24"/>
          <w:szCs w:val="24"/>
        </w:rPr>
        <w:t xml:space="preserve">сдерживания постоянных затрат, проведением эффективных мероприятий по оптимизации затрат, а также повышения финансовой дисциплины. </w:t>
      </w:r>
    </w:p>
    <w:p w:rsidR="00EA47A6" w:rsidRPr="00E43E65" w:rsidRDefault="00EA47A6" w:rsidP="00531FC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E65">
        <w:rPr>
          <w:rFonts w:ascii="Times New Roman" w:hAnsi="Times New Roman" w:cs="Times New Roman"/>
          <w:i/>
          <w:sz w:val="24"/>
          <w:szCs w:val="24"/>
        </w:rPr>
        <w:t xml:space="preserve">Тем не менее, </w:t>
      </w:r>
      <w:r w:rsidR="00BF31BA" w:rsidRPr="00E43E6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43E65" w:rsidRPr="00E43E65">
        <w:rPr>
          <w:rFonts w:ascii="Times New Roman" w:hAnsi="Times New Roman" w:cs="Times New Roman"/>
          <w:i/>
          <w:sz w:val="24"/>
          <w:szCs w:val="24"/>
        </w:rPr>
        <w:t>стремительно меняющихся условиях</w:t>
      </w:r>
      <w:r w:rsidR="00BF31BA" w:rsidRPr="00E43E65">
        <w:rPr>
          <w:rFonts w:ascii="Times New Roman" w:hAnsi="Times New Roman" w:cs="Times New Roman"/>
          <w:i/>
          <w:sz w:val="24"/>
          <w:szCs w:val="24"/>
        </w:rPr>
        <w:t xml:space="preserve"> экономики, </w:t>
      </w:r>
      <w:r w:rsidRPr="00E43E65">
        <w:rPr>
          <w:rFonts w:ascii="Times New Roman" w:hAnsi="Times New Roman" w:cs="Times New Roman"/>
          <w:i/>
          <w:sz w:val="24"/>
          <w:szCs w:val="24"/>
        </w:rPr>
        <w:t xml:space="preserve">ГУП «ЖКХ РС (Я)» намерено </w:t>
      </w:r>
      <w:r w:rsidR="00B11B77">
        <w:rPr>
          <w:rFonts w:ascii="Times New Roman" w:hAnsi="Times New Roman" w:cs="Times New Roman"/>
          <w:i/>
          <w:sz w:val="24"/>
          <w:szCs w:val="24"/>
        </w:rPr>
        <w:t xml:space="preserve">дальше </w:t>
      </w:r>
      <w:r w:rsidRPr="00E43E65">
        <w:rPr>
          <w:rFonts w:ascii="Times New Roman" w:hAnsi="Times New Roman" w:cs="Times New Roman"/>
          <w:i/>
          <w:sz w:val="24"/>
          <w:szCs w:val="24"/>
        </w:rPr>
        <w:t xml:space="preserve">продолжать </w:t>
      </w:r>
      <w:r w:rsidR="00BF31BA" w:rsidRPr="00E43E65">
        <w:rPr>
          <w:rFonts w:ascii="Times New Roman" w:hAnsi="Times New Roman" w:cs="Times New Roman"/>
          <w:i/>
          <w:sz w:val="24"/>
          <w:szCs w:val="24"/>
        </w:rPr>
        <w:t>развитие своего производства, повышать качество предоставляемых услуг, укреплять финансово-экономическую стабильность и сохранять лидерство в жилищно-коммунальной отрасли.</w:t>
      </w:r>
    </w:p>
    <w:p w:rsidR="00543ADC" w:rsidRDefault="00543ADC" w:rsidP="00C86F8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3ADC" w:rsidRDefault="00543ADC" w:rsidP="00C86F8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43ADC" w:rsidSect="00240D64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9E312" w16cex:dateUtc="2021-09-01T08:31:00Z"/>
  <w16cex:commentExtensible w16cex:durableId="24D9E37A" w16cex:dateUtc="2021-09-01T08:33:00Z"/>
  <w16cex:commentExtensible w16cex:durableId="24D9E48B" w16cex:dateUtc="2021-09-01T08:37:00Z"/>
  <w16cex:commentExtensible w16cex:durableId="24D9E676" w16cex:dateUtc="2021-09-01T08:39:00Z"/>
  <w16cex:commentExtensible w16cex:durableId="24D9E4E6" w16cex:dateUtc="2021-09-01T08:39:00Z"/>
  <w16cex:commentExtensible w16cex:durableId="24D9E81C" w16cex:dateUtc="2021-09-01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9263E" w16cid:durableId="24D9E312"/>
  <w16cid:commentId w16cid:paraId="5B9CE4E0" w16cid:durableId="24D9E37A"/>
  <w16cid:commentId w16cid:paraId="2D0542BD" w16cid:durableId="24D9E48B"/>
  <w16cid:commentId w16cid:paraId="3DDE0C93" w16cid:durableId="24D9E676"/>
  <w16cid:commentId w16cid:paraId="0A953AEC" w16cid:durableId="24D9E4E6"/>
  <w16cid:commentId w16cid:paraId="1A022935" w16cid:durableId="24D9E8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F0" w:rsidRDefault="009572F0" w:rsidP="00DC4B10">
      <w:pPr>
        <w:spacing w:after="0" w:line="240" w:lineRule="auto"/>
      </w:pPr>
      <w:r>
        <w:separator/>
      </w:r>
    </w:p>
  </w:endnote>
  <w:endnote w:type="continuationSeparator" w:id="0">
    <w:p w:rsidR="009572F0" w:rsidRDefault="009572F0" w:rsidP="00DC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F0" w:rsidRDefault="009572F0" w:rsidP="00DC4B10">
      <w:pPr>
        <w:spacing w:after="0" w:line="240" w:lineRule="auto"/>
      </w:pPr>
      <w:r>
        <w:separator/>
      </w:r>
    </w:p>
  </w:footnote>
  <w:footnote w:type="continuationSeparator" w:id="0">
    <w:p w:rsidR="009572F0" w:rsidRDefault="009572F0" w:rsidP="00DC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19" w:rsidRDefault="00726519" w:rsidP="00240D64">
    <w:pPr>
      <w:pStyle w:val="a8"/>
      <w:jc w:val="center"/>
    </w:pPr>
    <w:r>
      <w:rPr>
        <w:noProof/>
        <w:lang w:eastAsia="ru-RU"/>
      </w:rPr>
      <w:drawing>
        <wp:inline distT="0" distB="0" distL="0" distR="0" wp14:anchorId="6F17144E" wp14:editId="6372E28E">
          <wp:extent cx="1529080" cy="1150620"/>
          <wp:effectExtent l="0" t="0" r="0" b="0"/>
          <wp:docPr id="2" name="Рисунок 2" descr="https://jkhsakha.ru/assets/img/logo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jkhsakha.ru/assets/img/logo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E4"/>
    <w:multiLevelType w:val="hybridMultilevel"/>
    <w:tmpl w:val="02DADC96"/>
    <w:lvl w:ilvl="0" w:tplc="CA6AD2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66EFF"/>
    <w:multiLevelType w:val="hybridMultilevel"/>
    <w:tmpl w:val="0E4E2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C362E"/>
    <w:multiLevelType w:val="hybridMultilevel"/>
    <w:tmpl w:val="F80A4C8C"/>
    <w:lvl w:ilvl="0" w:tplc="2AD2351C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E7376"/>
    <w:multiLevelType w:val="hybridMultilevel"/>
    <w:tmpl w:val="776E1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6"/>
    <w:rsid w:val="00000A02"/>
    <w:rsid w:val="00004DF8"/>
    <w:rsid w:val="0001210C"/>
    <w:rsid w:val="000159E3"/>
    <w:rsid w:val="000605E9"/>
    <w:rsid w:val="00062000"/>
    <w:rsid w:val="00070B9B"/>
    <w:rsid w:val="000861D8"/>
    <w:rsid w:val="00093909"/>
    <w:rsid w:val="000A6908"/>
    <w:rsid w:val="000B3C48"/>
    <w:rsid w:val="000B4A42"/>
    <w:rsid w:val="000C1913"/>
    <w:rsid w:val="000D0618"/>
    <w:rsid w:val="000D6D3F"/>
    <w:rsid w:val="00101336"/>
    <w:rsid w:val="00101DFA"/>
    <w:rsid w:val="0010237B"/>
    <w:rsid w:val="001120C8"/>
    <w:rsid w:val="0012281C"/>
    <w:rsid w:val="001351DB"/>
    <w:rsid w:val="0014532F"/>
    <w:rsid w:val="00193AA4"/>
    <w:rsid w:val="001C07D4"/>
    <w:rsid w:val="001D04B0"/>
    <w:rsid w:val="001D1217"/>
    <w:rsid w:val="001D1249"/>
    <w:rsid w:val="001F20F6"/>
    <w:rsid w:val="001F3064"/>
    <w:rsid w:val="00200B44"/>
    <w:rsid w:val="002031DA"/>
    <w:rsid w:val="00204567"/>
    <w:rsid w:val="002057D4"/>
    <w:rsid w:val="00214520"/>
    <w:rsid w:val="002170E7"/>
    <w:rsid w:val="00217DC5"/>
    <w:rsid w:val="002406D0"/>
    <w:rsid w:val="00240D64"/>
    <w:rsid w:val="00251B90"/>
    <w:rsid w:val="00281A6B"/>
    <w:rsid w:val="002823A4"/>
    <w:rsid w:val="00283006"/>
    <w:rsid w:val="00284011"/>
    <w:rsid w:val="002942AB"/>
    <w:rsid w:val="002C2217"/>
    <w:rsid w:val="002C4ECC"/>
    <w:rsid w:val="002C57F6"/>
    <w:rsid w:val="00310E3D"/>
    <w:rsid w:val="00317688"/>
    <w:rsid w:val="003227EF"/>
    <w:rsid w:val="00330FFA"/>
    <w:rsid w:val="003734D6"/>
    <w:rsid w:val="003837C9"/>
    <w:rsid w:val="003943F7"/>
    <w:rsid w:val="003A45FA"/>
    <w:rsid w:val="003A6888"/>
    <w:rsid w:val="003A7CE7"/>
    <w:rsid w:val="003A7D73"/>
    <w:rsid w:val="003B7708"/>
    <w:rsid w:val="003C6660"/>
    <w:rsid w:val="003D0530"/>
    <w:rsid w:val="003E0B12"/>
    <w:rsid w:val="003F27F8"/>
    <w:rsid w:val="003F4659"/>
    <w:rsid w:val="00405F6A"/>
    <w:rsid w:val="00406ED1"/>
    <w:rsid w:val="00414DF9"/>
    <w:rsid w:val="00426C2F"/>
    <w:rsid w:val="00442C86"/>
    <w:rsid w:val="00450E62"/>
    <w:rsid w:val="00455A6B"/>
    <w:rsid w:val="00463651"/>
    <w:rsid w:val="0046370C"/>
    <w:rsid w:val="00474335"/>
    <w:rsid w:val="00475B5F"/>
    <w:rsid w:val="004773D4"/>
    <w:rsid w:val="00484DAE"/>
    <w:rsid w:val="004875B0"/>
    <w:rsid w:val="004946E3"/>
    <w:rsid w:val="00494AB0"/>
    <w:rsid w:val="0049746B"/>
    <w:rsid w:val="004A13C1"/>
    <w:rsid w:val="004B2EDE"/>
    <w:rsid w:val="004D4D27"/>
    <w:rsid w:val="004D67EA"/>
    <w:rsid w:val="004E3E5F"/>
    <w:rsid w:val="004F10EA"/>
    <w:rsid w:val="00531FCE"/>
    <w:rsid w:val="00535AD8"/>
    <w:rsid w:val="005433EB"/>
    <w:rsid w:val="00543ADC"/>
    <w:rsid w:val="00551176"/>
    <w:rsid w:val="00565E9E"/>
    <w:rsid w:val="00573AF9"/>
    <w:rsid w:val="00582C4F"/>
    <w:rsid w:val="00583A50"/>
    <w:rsid w:val="00590C2B"/>
    <w:rsid w:val="005A0CA5"/>
    <w:rsid w:val="005A2752"/>
    <w:rsid w:val="005A5CF9"/>
    <w:rsid w:val="005C055A"/>
    <w:rsid w:val="005D32BD"/>
    <w:rsid w:val="005E5683"/>
    <w:rsid w:val="006070D9"/>
    <w:rsid w:val="0062280F"/>
    <w:rsid w:val="006234E9"/>
    <w:rsid w:val="00627FD2"/>
    <w:rsid w:val="00631D93"/>
    <w:rsid w:val="006543E5"/>
    <w:rsid w:val="00662ED0"/>
    <w:rsid w:val="00666778"/>
    <w:rsid w:val="00687539"/>
    <w:rsid w:val="006A61E2"/>
    <w:rsid w:val="006B3283"/>
    <w:rsid w:val="006C30FA"/>
    <w:rsid w:val="00711BB8"/>
    <w:rsid w:val="00712BB8"/>
    <w:rsid w:val="00726519"/>
    <w:rsid w:val="00751B0E"/>
    <w:rsid w:val="0077251A"/>
    <w:rsid w:val="00782926"/>
    <w:rsid w:val="007B768C"/>
    <w:rsid w:val="007B771D"/>
    <w:rsid w:val="007C323D"/>
    <w:rsid w:val="0081255E"/>
    <w:rsid w:val="00831D44"/>
    <w:rsid w:val="00870078"/>
    <w:rsid w:val="00877FC3"/>
    <w:rsid w:val="00891FC7"/>
    <w:rsid w:val="0089403D"/>
    <w:rsid w:val="0089466B"/>
    <w:rsid w:val="008B67B8"/>
    <w:rsid w:val="008C5E37"/>
    <w:rsid w:val="008F1230"/>
    <w:rsid w:val="008F3D48"/>
    <w:rsid w:val="009122FF"/>
    <w:rsid w:val="00917BB1"/>
    <w:rsid w:val="0092630E"/>
    <w:rsid w:val="0094355A"/>
    <w:rsid w:val="009572F0"/>
    <w:rsid w:val="00961BD1"/>
    <w:rsid w:val="009A1C20"/>
    <w:rsid w:val="009A46FE"/>
    <w:rsid w:val="009A6FBD"/>
    <w:rsid w:val="009B2752"/>
    <w:rsid w:val="009B41C5"/>
    <w:rsid w:val="009B6651"/>
    <w:rsid w:val="009C268A"/>
    <w:rsid w:val="009C3486"/>
    <w:rsid w:val="009D0635"/>
    <w:rsid w:val="009D5B07"/>
    <w:rsid w:val="009F073C"/>
    <w:rsid w:val="009F40B7"/>
    <w:rsid w:val="00A0615E"/>
    <w:rsid w:val="00A2194C"/>
    <w:rsid w:val="00A307C2"/>
    <w:rsid w:val="00A3538F"/>
    <w:rsid w:val="00A379BA"/>
    <w:rsid w:val="00A55D71"/>
    <w:rsid w:val="00A56897"/>
    <w:rsid w:val="00A56C31"/>
    <w:rsid w:val="00A645C9"/>
    <w:rsid w:val="00A82820"/>
    <w:rsid w:val="00A969EE"/>
    <w:rsid w:val="00AA7593"/>
    <w:rsid w:val="00AC129F"/>
    <w:rsid w:val="00AC52DD"/>
    <w:rsid w:val="00AF187B"/>
    <w:rsid w:val="00B11B77"/>
    <w:rsid w:val="00B1661C"/>
    <w:rsid w:val="00B36A49"/>
    <w:rsid w:val="00B41D33"/>
    <w:rsid w:val="00B46AAB"/>
    <w:rsid w:val="00B57D6E"/>
    <w:rsid w:val="00B749AF"/>
    <w:rsid w:val="00B81A98"/>
    <w:rsid w:val="00B84A12"/>
    <w:rsid w:val="00B914CC"/>
    <w:rsid w:val="00BA522F"/>
    <w:rsid w:val="00BB3707"/>
    <w:rsid w:val="00BC6577"/>
    <w:rsid w:val="00BE1664"/>
    <w:rsid w:val="00BE51E0"/>
    <w:rsid w:val="00BF31BA"/>
    <w:rsid w:val="00BF3F3B"/>
    <w:rsid w:val="00C132DC"/>
    <w:rsid w:val="00C20722"/>
    <w:rsid w:val="00C32F4A"/>
    <w:rsid w:val="00C34E61"/>
    <w:rsid w:val="00C40A10"/>
    <w:rsid w:val="00C554E9"/>
    <w:rsid w:val="00C651D9"/>
    <w:rsid w:val="00C740AF"/>
    <w:rsid w:val="00C86239"/>
    <w:rsid w:val="00C86F82"/>
    <w:rsid w:val="00C92227"/>
    <w:rsid w:val="00C93247"/>
    <w:rsid w:val="00CA3658"/>
    <w:rsid w:val="00CB2D46"/>
    <w:rsid w:val="00CC438F"/>
    <w:rsid w:val="00CD1FC9"/>
    <w:rsid w:val="00CD4342"/>
    <w:rsid w:val="00CD7AF8"/>
    <w:rsid w:val="00CF382C"/>
    <w:rsid w:val="00D0159B"/>
    <w:rsid w:val="00D13176"/>
    <w:rsid w:val="00D26029"/>
    <w:rsid w:val="00D379E9"/>
    <w:rsid w:val="00D46229"/>
    <w:rsid w:val="00D651A5"/>
    <w:rsid w:val="00D81C62"/>
    <w:rsid w:val="00D92372"/>
    <w:rsid w:val="00DA7083"/>
    <w:rsid w:val="00DB69E3"/>
    <w:rsid w:val="00DC37AF"/>
    <w:rsid w:val="00DC4B10"/>
    <w:rsid w:val="00DC51A7"/>
    <w:rsid w:val="00DD49CD"/>
    <w:rsid w:val="00DF0D93"/>
    <w:rsid w:val="00DF2891"/>
    <w:rsid w:val="00DF54C1"/>
    <w:rsid w:val="00DF67DD"/>
    <w:rsid w:val="00E31F20"/>
    <w:rsid w:val="00E43E65"/>
    <w:rsid w:val="00E52CA5"/>
    <w:rsid w:val="00E56042"/>
    <w:rsid w:val="00E71564"/>
    <w:rsid w:val="00E8212E"/>
    <w:rsid w:val="00E90161"/>
    <w:rsid w:val="00EA08A0"/>
    <w:rsid w:val="00EA47A6"/>
    <w:rsid w:val="00EA6DB6"/>
    <w:rsid w:val="00EB24D7"/>
    <w:rsid w:val="00EB3414"/>
    <w:rsid w:val="00ED2C0D"/>
    <w:rsid w:val="00EE2D2D"/>
    <w:rsid w:val="00EF0D6D"/>
    <w:rsid w:val="00EF2518"/>
    <w:rsid w:val="00F01AE4"/>
    <w:rsid w:val="00F03D1B"/>
    <w:rsid w:val="00F123E3"/>
    <w:rsid w:val="00F23DCE"/>
    <w:rsid w:val="00F3592E"/>
    <w:rsid w:val="00F42526"/>
    <w:rsid w:val="00F45770"/>
    <w:rsid w:val="00F70A93"/>
    <w:rsid w:val="00F83F39"/>
    <w:rsid w:val="00FA6E99"/>
    <w:rsid w:val="00FA757E"/>
    <w:rsid w:val="00FB3672"/>
    <w:rsid w:val="00FC5B00"/>
    <w:rsid w:val="00FD483E"/>
    <w:rsid w:val="00FF0FFA"/>
    <w:rsid w:val="00FF2B25"/>
    <w:rsid w:val="00FF4231"/>
    <w:rsid w:val="00FF6FC0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66B"/>
    <w:pPr>
      <w:ind w:left="720"/>
      <w:contextualSpacing/>
    </w:pPr>
  </w:style>
  <w:style w:type="paragraph" w:customStyle="1" w:styleId="Normal1">
    <w:name w:val="Normal1"/>
    <w:rsid w:val="00B9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7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EA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B10"/>
  </w:style>
  <w:style w:type="paragraph" w:styleId="aa">
    <w:name w:val="footer"/>
    <w:basedOn w:val="a"/>
    <w:link w:val="ab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B10"/>
  </w:style>
  <w:style w:type="table" w:styleId="ac">
    <w:name w:val="Table Grid"/>
    <w:basedOn w:val="a1"/>
    <w:uiPriority w:val="59"/>
    <w:semiHidden/>
    <w:unhideWhenUsed/>
    <w:rsid w:val="00FF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943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3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3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3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3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0CA5"/>
    <w:rPr>
      <w:i/>
      <w:iCs/>
    </w:rPr>
  </w:style>
  <w:style w:type="character" w:styleId="a4">
    <w:name w:val="Hyperlink"/>
    <w:basedOn w:val="a0"/>
    <w:uiPriority w:val="99"/>
    <w:unhideWhenUsed/>
    <w:rsid w:val="00C40A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466B"/>
    <w:pPr>
      <w:ind w:left="720"/>
      <w:contextualSpacing/>
    </w:pPr>
  </w:style>
  <w:style w:type="paragraph" w:customStyle="1" w:styleId="Normal1">
    <w:name w:val="Normal1"/>
    <w:rsid w:val="00B9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7E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7EA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B10"/>
  </w:style>
  <w:style w:type="paragraph" w:styleId="aa">
    <w:name w:val="footer"/>
    <w:basedOn w:val="a"/>
    <w:link w:val="ab"/>
    <w:uiPriority w:val="99"/>
    <w:unhideWhenUsed/>
    <w:rsid w:val="00DC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B10"/>
  </w:style>
  <w:style w:type="table" w:styleId="ac">
    <w:name w:val="Table Grid"/>
    <w:basedOn w:val="a1"/>
    <w:uiPriority w:val="59"/>
    <w:semiHidden/>
    <w:unhideWhenUsed/>
    <w:rsid w:val="00FF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943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43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43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43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4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8C629C-C0CC-4A56-8E4B-249130CD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</dc:creator>
  <cp:lastModifiedBy>Пресс-центр</cp:lastModifiedBy>
  <cp:revision>14</cp:revision>
  <cp:lastPrinted>2022-08-31T03:41:00Z</cp:lastPrinted>
  <dcterms:created xsi:type="dcterms:W3CDTF">2022-09-05T05:46:00Z</dcterms:created>
  <dcterms:modified xsi:type="dcterms:W3CDTF">2022-09-06T01:24:00Z</dcterms:modified>
</cp:coreProperties>
</file>