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A5" w:rsidRPr="00B57D6E" w:rsidRDefault="005A0CA5" w:rsidP="005A0CA5">
      <w:pPr>
        <w:widowControl w:val="0"/>
        <w:spacing w:after="360" w:line="360" w:lineRule="auto"/>
        <w:ind w:firstLine="709"/>
        <w:jc w:val="center"/>
        <w:rPr>
          <w:rStyle w:val="a3"/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9F073C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Комментарии к консолидированной финансовой отчетности </w:t>
      </w:r>
      <w:r w:rsidR="00240D64" w:rsidRPr="009F073C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государственного </w:t>
      </w:r>
      <w:r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унитарного предприятия «Жилищно-коммунальное хозяйство Республики Саха (Якутия)» по итогам </w:t>
      </w:r>
      <w:r w:rsidR="009F073C"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202</w:t>
      </w:r>
      <w:r w:rsidR="002057D4"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1</w:t>
      </w:r>
      <w:r w:rsidR="009F073C"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 года</w:t>
      </w:r>
    </w:p>
    <w:p w:rsidR="005A0CA5" w:rsidRPr="004D67EA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>ГУП «ЖКХ РС (Я)» оказывает услуги теплоснабжения, водоснабжения, водоотведения, эксплуатации жилищного фонда и обращения с твердыми коммунальными отходами. Предприятие занимает лидирующее положение на рынке коммунальных услуг республики по территориальному присутствию, количеству обслуживаемых источников теплогенерации, охвату теплоснабжением бюджетных учреждений.</w:t>
      </w:r>
    </w:p>
    <w:p w:rsidR="005A0CA5" w:rsidRPr="004D67EA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>ГУП "ЖКХ РС (Я)" обеспечивает теплоснабжением 74% территории Республики Саха (Якутия), предоставляет жилищно-коммунальные услуги в 2</w:t>
      </w:r>
      <w:r w:rsidR="009F073C" w:rsidRPr="004D67EA">
        <w:rPr>
          <w:rFonts w:ascii="Times New Roman" w:hAnsi="Times New Roman" w:cs="Times New Roman"/>
          <w:i/>
          <w:sz w:val="24"/>
          <w:szCs w:val="24"/>
        </w:rPr>
        <w:t>8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 муниципальных районах (из них 12 арктических</w:t>
      </w:r>
      <w:r w:rsidR="00782926" w:rsidRPr="004D67EA">
        <w:rPr>
          <w:rFonts w:ascii="Times New Roman" w:hAnsi="Times New Roman" w:cs="Times New Roman"/>
          <w:i/>
          <w:sz w:val="24"/>
          <w:szCs w:val="24"/>
        </w:rPr>
        <w:t>), а также в ГО "Город Якутск".</w:t>
      </w:r>
    </w:p>
    <w:p w:rsidR="005A0CA5" w:rsidRDefault="005A0CA5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>Предприятие обслуживает 22 процента населения республики, которое проживает в отапливаемом жилищном фонде, в том числе: теплоснабжение – 130,4 тыс. человек, горячее водоснабжение – 96,1 тыс. человек, холодное водоснабжение - 41,9 тыс. человек, водоотведение – 14,5 тыс. человек.</w:t>
      </w:r>
    </w:p>
    <w:p w:rsidR="006B3283" w:rsidRDefault="006B3283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283" w:rsidRPr="006B3283" w:rsidRDefault="006B3283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283">
        <w:rPr>
          <w:rFonts w:ascii="Times New Roman" w:hAnsi="Times New Roman" w:cs="Times New Roman"/>
          <w:b/>
          <w:i/>
          <w:sz w:val="24"/>
          <w:szCs w:val="24"/>
        </w:rPr>
        <w:t xml:space="preserve">Финансовые результаты деятельности </w:t>
      </w:r>
    </w:p>
    <w:p w:rsidR="006B3283" w:rsidRDefault="006B3283" w:rsidP="00C32F4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70B9B" w:rsidRPr="004D67EA" w:rsidRDefault="004F10EA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По результатам обзорной проверки промежуточной консолидированной финансовой отчетности (далее – МСФО)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>о итогам 20</w:t>
      </w:r>
      <w:r w:rsidR="009F073C" w:rsidRPr="004D67EA">
        <w:rPr>
          <w:rFonts w:ascii="Times New Roman" w:hAnsi="Times New Roman" w:cs="Times New Roman"/>
          <w:i/>
          <w:sz w:val="24"/>
          <w:szCs w:val="24"/>
        </w:rPr>
        <w:t>2</w:t>
      </w:r>
      <w:r w:rsidR="002057D4" w:rsidRPr="004D67EA">
        <w:rPr>
          <w:rFonts w:ascii="Times New Roman" w:hAnsi="Times New Roman" w:cs="Times New Roman"/>
          <w:i/>
          <w:sz w:val="24"/>
          <w:szCs w:val="24"/>
        </w:rPr>
        <w:t>1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года выручка составила </w:t>
      </w:r>
      <w:r w:rsidR="00CF382C">
        <w:rPr>
          <w:rFonts w:ascii="Times New Roman" w:hAnsi="Times New Roman" w:cs="Times New Roman"/>
          <w:i/>
          <w:sz w:val="24"/>
          <w:szCs w:val="24"/>
        </w:rPr>
        <w:t>23</w:t>
      </w:r>
      <w:r w:rsidR="004B2EDE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82C">
        <w:rPr>
          <w:rFonts w:ascii="Times New Roman" w:hAnsi="Times New Roman" w:cs="Times New Roman"/>
          <w:i/>
          <w:sz w:val="24"/>
          <w:szCs w:val="24"/>
        </w:rPr>
        <w:t>8</w:t>
      </w:r>
      <w:r w:rsidR="009122FF">
        <w:rPr>
          <w:rFonts w:ascii="Times New Roman" w:hAnsi="Times New Roman" w:cs="Times New Roman"/>
          <w:i/>
          <w:sz w:val="24"/>
          <w:szCs w:val="24"/>
        </w:rPr>
        <w:t>03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CF382C">
        <w:rPr>
          <w:rFonts w:ascii="Times New Roman" w:hAnsi="Times New Roman" w:cs="Times New Roman"/>
          <w:i/>
          <w:sz w:val="24"/>
          <w:szCs w:val="24"/>
        </w:rPr>
        <w:t>.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рублей, показав </w:t>
      </w:r>
      <w:r w:rsidR="009F073C" w:rsidRPr="004D67EA">
        <w:rPr>
          <w:rFonts w:ascii="Times New Roman" w:hAnsi="Times New Roman" w:cs="Times New Roman"/>
          <w:i/>
          <w:sz w:val="24"/>
          <w:szCs w:val="24"/>
        </w:rPr>
        <w:t>рост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38F" w:rsidRPr="004D67EA">
        <w:rPr>
          <w:rFonts w:ascii="Times New Roman" w:hAnsi="Times New Roman" w:cs="Times New Roman"/>
          <w:i/>
          <w:sz w:val="24"/>
          <w:szCs w:val="24"/>
        </w:rPr>
        <w:t xml:space="preserve">в размере </w:t>
      </w:r>
      <w:r w:rsidR="00CF382C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9122FF">
        <w:rPr>
          <w:rFonts w:ascii="Times New Roman" w:hAnsi="Times New Roman" w:cs="Times New Roman"/>
          <w:i/>
          <w:sz w:val="24"/>
          <w:szCs w:val="24"/>
        </w:rPr>
        <w:t>673</w:t>
      </w:r>
      <w:r w:rsidR="00A3538F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9122FF">
        <w:rPr>
          <w:rFonts w:ascii="Times New Roman" w:hAnsi="Times New Roman" w:cs="Times New Roman"/>
          <w:i/>
          <w:sz w:val="24"/>
          <w:szCs w:val="24"/>
        </w:rPr>
        <w:t>.</w:t>
      </w:r>
      <w:r w:rsidR="00CF382C">
        <w:rPr>
          <w:rFonts w:ascii="Times New Roman" w:hAnsi="Times New Roman" w:cs="Times New Roman"/>
          <w:i/>
          <w:sz w:val="24"/>
          <w:szCs w:val="24"/>
        </w:rPr>
        <w:t xml:space="preserve"> рублей или 7</w:t>
      </w:r>
      <w:r w:rsidR="00A3538F" w:rsidRPr="004D67EA">
        <w:rPr>
          <w:rFonts w:ascii="Times New Roman" w:hAnsi="Times New Roman" w:cs="Times New Roman"/>
          <w:i/>
          <w:sz w:val="24"/>
          <w:szCs w:val="24"/>
        </w:rPr>
        <w:t>,</w:t>
      </w:r>
      <w:r w:rsidR="009122FF">
        <w:rPr>
          <w:rFonts w:ascii="Times New Roman" w:hAnsi="Times New Roman" w:cs="Times New Roman"/>
          <w:i/>
          <w:sz w:val="24"/>
          <w:szCs w:val="24"/>
        </w:rPr>
        <w:t>6</w:t>
      </w:r>
      <w:r w:rsidR="00A3538F" w:rsidRPr="004D67EA">
        <w:rPr>
          <w:rFonts w:ascii="Times New Roman" w:hAnsi="Times New Roman" w:cs="Times New Roman"/>
          <w:i/>
          <w:sz w:val="24"/>
          <w:szCs w:val="24"/>
        </w:rPr>
        <w:t>% по ср</w:t>
      </w:r>
      <w:r w:rsidR="00414DF9" w:rsidRPr="004D67EA">
        <w:rPr>
          <w:rFonts w:ascii="Times New Roman" w:hAnsi="Times New Roman" w:cs="Times New Roman"/>
          <w:i/>
          <w:sz w:val="24"/>
          <w:szCs w:val="24"/>
        </w:rPr>
        <w:t xml:space="preserve">авнению </w:t>
      </w:r>
      <w:r w:rsidR="00CF382C">
        <w:rPr>
          <w:rFonts w:ascii="Times New Roman" w:hAnsi="Times New Roman" w:cs="Times New Roman"/>
          <w:i/>
          <w:sz w:val="24"/>
          <w:szCs w:val="24"/>
        </w:rPr>
        <w:t xml:space="preserve">с показателем </w:t>
      </w:r>
      <w:r w:rsidR="00414DF9" w:rsidRPr="004D67EA">
        <w:rPr>
          <w:rFonts w:ascii="Times New Roman" w:hAnsi="Times New Roman" w:cs="Times New Roman"/>
          <w:i/>
          <w:sz w:val="24"/>
          <w:szCs w:val="24"/>
        </w:rPr>
        <w:t>2020 год</w:t>
      </w:r>
      <w:r w:rsidR="00CF382C">
        <w:rPr>
          <w:rFonts w:ascii="Times New Roman" w:hAnsi="Times New Roman" w:cs="Times New Roman"/>
          <w:i/>
          <w:sz w:val="24"/>
          <w:szCs w:val="24"/>
        </w:rPr>
        <w:t>а</w:t>
      </w:r>
      <w:r w:rsidR="00F70A93" w:rsidRPr="004D67EA">
        <w:rPr>
          <w:rFonts w:ascii="Times New Roman" w:hAnsi="Times New Roman" w:cs="Times New Roman"/>
          <w:i/>
          <w:sz w:val="24"/>
          <w:szCs w:val="24"/>
        </w:rPr>
        <w:t>.</w:t>
      </w:r>
    </w:p>
    <w:p w:rsidR="007B771D" w:rsidRPr="004D67EA" w:rsidRDefault="007B771D" w:rsidP="00C740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>На рост доходов за оказание коммунальных услуг повлияло</w:t>
      </w:r>
      <w:r w:rsidR="00CF382C">
        <w:rPr>
          <w:rFonts w:ascii="Times New Roman" w:hAnsi="Times New Roman" w:cs="Times New Roman"/>
          <w:i/>
          <w:sz w:val="24"/>
          <w:szCs w:val="24"/>
        </w:rPr>
        <w:t xml:space="preserve"> подключение новых потребителей. Р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ост реализации полезного отпуска по теплоснабжению составил </w:t>
      </w:r>
      <w:r w:rsidR="00CF382C">
        <w:rPr>
          <w:rFonts w:ascii="Times New Roman" w:hAnsi="Times New Roman" w:cs="Times New Roman"/>
          <w:i/>
          <w:sz w:val="24"/>
          <w:szCs w:val="24"/>
        </w:rPr>
        <w:t xml:space="preserve">+8,82 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тыс. Гкал, в том числе по населению </w:t>
      </w:r>
      <w:r w:rsidR="00CF382C">
        <w:rPr>
          <w:rFonts w:ascii="Times New Roman" w:hAnsi="Times New Roman" w:cs="Times New Roman"/>
          <w:i/>
          <w:sz w:val="24"/>
          <w:szCs w:val="24"/>
        </w:rPr>
        <w:t>+8,59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 тыс. Гкал, по бюджетным учреждениям </w:t>
      </w:r>
      <w:r w:rsidR="00CF382C">
        <w:rPr>
          <w:rFonts w:ascii="Times New Roman" w:hAnsi="Times New Roman" w:cs="Times New Roman"/>
          <w:i/>
          <w:sz w:val="24"/>
          <w:szCs w:val="24"/>
        </w:rPr>
        <w:t xml:space="preserve">+2,10 тыс. Гкал 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70A93" w:rsidRPr="004D67EA">
        <w:rPr>
          <w:rFonts w:ascii="Times New Roman" w:hAnsi="Times New Roman" w:cs="Times New Roman"/>
          <w:i/>
          <w:sz w:val="24"/>
          <w:szCs w:val="24"/>
        </w:rPr>
        <w:t xml:space="preserve">прочим потребителям </w:t>
      </w:r>
      <w:r w:rsidR="00CF382C">
        <w:rPr>
          <w:rFonts w:ascii="Times New Roman" w:hAnsi="Times New Roman" w:cs="Times New Roman"/>
          <w:i/>
          <w:sz w:val="24"/>
          <w:szCs w:val="24"/>
        </w:rPr>
        <w:t>снижение -1,87</w:t>
      </w:r>
      <w:r w:rsidR="00F70A93" w:rsidRPr="004D67EA"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="00CF382C">
        <w:rPr>
          <w:rFonts w:ascii="Times New Roman" w:hAnsi="Times New Roman" w:cs="Times New Roman"/>
          <w:i/>
          <w:sz w:val="24"/>
          <w:szCs w:val="24"/>
        </w:rPr>
        <w:t>Гкал. Т</w:t>
      </w:r>
      <w:r w:rsidR="00F70A93" w:rsidRPr="004D67EA">
        <w:rPr>
          <w:rFonts w:ascii="Times New Roman" w:hAnsi="Times New Roman" w:cs="Times New Roman"/>
          <w:i/>
          <w:sz w:val="24"/>
          <w:szCs w:val="24"/>
        </w:rPr>
        <w:t xml:space="preserve">акже </w:t>
      </w:r>
      <w:r w:rsidR="00CF382C">
        <w:rPr>
          <w:rFonts w:ascii="Times New Roman" w:hAnsi="Times New Roman" w:cs="Times New Roman"/>
          <w:i/>
          <w:sz w:val="24"/>
          <w:szCs w:val="24"/>
        </w:rPr>
        <w:t xml:space="preserve">на увеличение доходности повлиял </w:t>
      </w:r>
      <w:r w:rsidR="00583A50">
        <w:rPr>
          <w:rFonts w:ascii="Times New Roman" w:hAnsi="Times New Roman" w:cs="Times New Roman"/>
          <w:i/>
          <w:sz w:val="24"/>
          <w:szCs w:val="24"/>
        </w:rPr>
        <w:t>рост</w:t>
      </w:r>
      <w:r w:rsidR="00F70A93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82C">
        <w:rPr>
          <w:rFonts w:ascii="Times New Roman" w:hAnsi="Times New Roman" w:cs="Times New Roman"/>
          <w:i/>
          <w:sz w:val="24"/>
          <w:szCs w:val="24"/>
        </w:rPr>
        <w:t xml:space="preserve">экономически обоснованных </w:t>
      </w:r>
      <w:r w:rsidR="00F70A93" w:rsidRPr="004D67EA">
        <w:rPr>
          <w:rFonts w:ascii="Times New Roman" w:hAnsi="Times New Roman" w:cs="Times New Roman"/>
          <w:i/>
          <w:sz w:val="24"/>
          <w:szCs w:val="24"/>
        </w:rPr>
        <w:t>тарифов с 1 июля 2021 года на 1,32%.</w:t>
      </w:r>
    </w:p>
    <w:p w:rsidR="00EF0D6D" w:rsidRPr="00F45770" w:rsidRDefault="00DC4B10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 отчетный период сумма </w:t>
      </w:r>
      <w:r w:rsidR="004F10EA" w:rsidRPr="004D67EA">
        <w:rPr>
          <w:rFonts w:ascii="Times New Roman" w:hAnsi="Times New Roman" w:cs="Times New Roman"/>
          <w:i/>
          <w:sz w:val="24"/>
          <w:szCs w:val="24"/>
        </w:rPr>
        <w:t xml:space="preserve">субсидии, выплачиваемого предприятию для компенсации разницы между экономически </w:t>
      </w:r>
      <w:r w:rsidR="007B771D" w:rsidRPr="004D67EA">
        <w:rPr>
          <w:rFonts w:ascii="Times New Roman" w:hAnsi="Times New Roman" w:cs="Times New Roman"/>
          <w:i/>
          <w:sz w:val="24"/>
          <w:szCs w:val="24"/>
        </w:rPr>
        <w:t xml:space="preserve">обоснованным и льготным тарифом </w:t>
      </w:r>
      <w:r w:rsidR="004F10EA" w:rsidRPr="004D67EA">
        <w:rPr>
          <w:rFonts w:ascii="Times New Roman" w:hAnsi="Times New Roman" w:cs="Times New Roman"/>
          <w:i/>
          <w:sz w:val="24"/>
          <w:szCs w:val="24"/>
        </w:rPr>
        <w:t>для населения (субсидии ОКК) составил</w:t>
      </w:r>
      <w:r w:rsidR="00F45770">
        <w:rPr>
          <w:rFonts w:ascii="Times New Roman" w:hAnsi="Times New Roman" w:cs="Times New Roman"/>
          <w:i/>
          <w:sz w:val="24"/>
          <w:szCs w:val="24"/>
        </w:rPr>
        <w:t>а</w:t>
      </w:r>
      <w:r w:rsidR="004F10EA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2FF">
        <w:rPr>
          <w:rFonts w:ascii="Times New Roman" w:hAnsi="Times New Roman" w:cs="Times New Roman"/>
          <w:i/>
          <w:sz w:val="24"/>
          <w:szCs w:val="24"/>
        </w:rPr>
        <w:t>13</w:t>
      </w:r>
      <w:r w:rsidR="004F10EA" w:rsidRPr="004D67EA">
        <w:rPr>
          <w:rFonts w:ascii="Times New Roman" w:hAnsi="Times New Roman" w:cs="Times New Roman"/>
          <w:i/>
          <w:sz w:val="24"/>
          <w:szCs w:val="24"/>
        </w:rPr>
        <w:t> </w:t>
      </w:r>
      <w:r w:rsidR="009122FF">
        <w:rPr>
          <w:rFonts w:ascii="Times New Roman" w:hAnsi="Times New Roman" w:cs="Times New Roman"/>
          <w:i/>
          <w:sz w:val="24"/>
          <w:szCs w:val="24"/>
        </w:rPr>
        <w:t>299</w:t>
      </w:r>
      <w:r w:rsidR="004F10EA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9122FF">
        <w:rPr>
          <w:rFonts w:ascii="Times New Roman" w:hAnsi="Times New Roman" w:cs="Times New Roman"/>
          <w:i/>
          <w:sz w:val="24"/>
          <w:szCs w:val="24"/>
        </w:rPr>
        <w:t>.</w:t>
      </w:r>
      <w:r w:rsidR="004F10EA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891FC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17DC5" w:rsidRDefault="00C40A10" w:rsidP="00217DC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 xml:space="preserve">Себестоимость в соответствии с отчетностью сложилась в размере </w:t>
      </w:r>
      <w:r w:rsidR="009122FF">
        <w:rPr>
          <w:rFonts w:ascii="Times New Roman" w:hAnsi="Times New Roman" w:cs="Times New Roman"/>
          <w:i/>
          <w:sz w:val="24"/>
          <w:szCs w:val="24"/>
        </w:rPr>
        <w:t>21 519</w:t>
      </w:r>
      <w:r w:rsidR="00535AD8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9122FF">
        <w:rPr>
          <w:rFonts w:ascii="Times New Roman" w:hAnsi="Times New Roman" w:cs="Times New Roman"/>
          <w:i/>
          <w:sz w:val="24"/>
          <w:szCs w:val="24"/>
        </w:rPr>
        <w:t>.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C554E9" w:rsidRPr="004D67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при этом по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сравнению с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прошлым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годом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зафиксировано увеличение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на </w:t>
      </w:r>
      <w:r w:rsidR="009122FF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2</w:t>
      </w:r>
      <w:r w:rsidR="00F70A93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 </w:t>
      </w:r>
      <w:r w:rsidR="009122FF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260</w:t>
      </w:r>
      <w:r w:rsidR="00F70A93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8B67B8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млн</w:t>
      </w:r>
      <w:r w:rsidR="009122FF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.</w:t>
      </w:r>
      <w:r w:rsidR="00F70A93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рублей. Основными причинами роста себестоимости являются следующие факторы:</w:t>
      </w:r>
    </w:p>
    <w:p w:rsidR="006543E5" w:rsidRDefault="00217DC5" w:rsidP="00217DC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1) </w:t>
      </w:r>
      <w:r w:rsidR="00DF2891" w:rsidRPr="00217DC5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Рост себестоимости в рассматриваемом периоде обусловлен увеличением статьи энергоресурсы на </w:t>
      </w:r>
      <w:r w:rsidR="009122FF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7</w:t>
      </w:r>
      <w:r w:rsidR="00DF2891" w:rsidRPr="00217DC5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9122FF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8</w:t>
      </w:r>
      <w:r w:rsidR="00DF2891" w:rsidRPr="00217DC5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%, что в свою очередь обусловлено ростом фактической стоимости топлива и транспортных расходов на сумму порядка </w:t>
      </w:r>
      <w:r w:rsidR="009122FF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668</w:t>
      </w:r>
      <w:r w:rsidR="00DF2891" w:rsidRPr="00217DC5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млн</w:t>
      </w:r>
      <w:r w:rsidR="009122FF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DF2891" w:rsidRPr="00217DC5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руб</w:t>
      </w:r>
      <w:r w:rsidR="009122FF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лей</w:t>
      </w:r>
      <w:r w:rsidR="00DF2891" w:rsidRPr="00217DC5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="006543E5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В целях компенсации дополнительных расходов на топливно-энергетические ресурсы предприятие ведет активную работу с федеральными и республиканскими органами исполнительной власти. На данный момент определена сумма выпадающих доходов в связи с удорожанием цены котельного топлива. Постановление по механизму компенсации выпадающих доходов находится на заключительной стадии утверждения в Правительстве РФ. </w:t>
      </w:r>
    </w:p>
    <w:p w:rsidR="00EA08A0" w:rsidRDefault="00217DC5" w:rsidP="00D651A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2) </w:t>
      </w:r>
      <w:r w:rsidR="00463651" w:rsidRPr="00217DC5">
        <w:rPr>
          <w:rFonts w:ascii="Times New Roman" w:hAnsi="Times New Roman" w:cs="Times New Roman"/>
          <w:i/>
          <w:sz w:val="24"/>
          <w:szCs w:val="24"/>
        </w:rPr>
        <w:t xml:space="preserve">Введение </w:t>
      </w:r>
      <w:r w:rsidR="00631D93" w:rsidRPr="00217DC5">
        <w:rPr>
          <w:rFonts w:ascii="Times New Roman" w:hAnsi="Times New Roman" w:cs="Times New Roman"/>
          <w:i/>
          <w:sz w:val="24"/>
          <w:szCs w:val="24"/>
        </w:rPr>
        <w:t>в действие нового Федерального стандарта бухгалтерского учета ФСБУ 5/2019 «Запасы»</w:t>
      </w:r>
      <w:r w:rsidR="00463651" w:rsidRPr="00217DC5">
        <w:rPr>
          <w:rFonts w:ascii="Times New Roman" w:hAnsi="Times New Roman" w:cs="Times New Roman"/>
          <w:i/>
          <w:sz w:val="24"/>
          <w:szCs w:val="24"/>
        </w:rPr>
        <w:t>.</w:t>
      </w:r>
      <w:r w:rsidR="00631D93" w:rsidRPr="00217D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651" w:rsidRPr="00217DC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31D93" w:rsidRPr="00217DC5">
        <w:rPr>
          <w:rFonts w:ascii="Times New Roman" w:hAnsi="Times New Roman" w:cs="Times New Roman"/>
          <w:i/>
          <w:sz w:val="24"/>
          <w:szCs w:val="24"/>
        </w:rPr>
        <w:t>01.01.2021 года внесены изменения в Учетную политику предприятия, в части переноса из Административных расходов в общепроизводственные ра</w:t>
      </w:r>
      <w:r w:rsidR="00463651" w:rsidRPr="00217DC5">
        <w:rPr>
          <w:rFonts w:ascii="Times New Roman" w:hAnsi="Times New Roman" w:cs="Times New Roman"/>
          <w:i/>
          <w:sz w:val="24"/>
          <w:szCs w:val="24"/>
        </w:rPr>
        <w:t xml:space="preserve">сходы (себестоимость) затрат </w:t>
      </w:r>
      <w:r w:rsidR="00631D93" w:rsidRPr="00217DC5">
        <w:rPr>
          <w:rFonts w:ascii="Times New Roman" w:hAnsi="Times New Roman" w:cs="Times New Roman"/>
          <w:i/>
          <w:sz w:val="24"/>
          <w:szCs w:val="24"/>
        </w:rPr>
        <w:t>по вознаграждению работников инженерно-технического состава, связанных напрямую с производством коммунальных</w:t>
      </w:r>
      <w:r w:rsidR="006234E9" w:rsidRPr="00217DC5">
        <w:rPr>
          <w:rFonts w:ascii="Times New Roman" w:hAnsi="Times New Roman" w:cs="Times New Roman"/>
          <w:i/>
          <w:sz w:val="24"/>
          <w:szCs w:val="24"/>
        </w:rPr>
        <w:t xml:space="preserve"> ресурсов.</w:t>
      </w:r>
      <w:r w:rsidR="00EA08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34E9" w:rsidRPr="006234E9" w:rsidRDefault="00EA08A0" w:rsidP="00DF289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В составе себестоимости затраты на вознаграждение работников составили 5 623 млн. рублей, что выше уровня 2020 года на 628 млн. руб. </w:t>
      </w:r>
      <w:r w:rsidR="003943F7">
        <w:rPr>
          <w:rFonts w:ascii="Times New Roman" w:hAnsi="Times New Roman" w:cs="Times New Roman"/>
          <w:i/>
          <w:sz w:val="24"/>
          <w:szCs w:val="24"/>
        </w:rPr>
        <w:t>При этом</w:t>
      </w:r>
      <w:r w:rsidR="003943F7" w:rsidRPr="006234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618">
        <w:rPr>
          <w:rFonts w:ascii="Times New Roman" w:hAnsi="Times New Roman" w:cs="Times New Roman"/>
          <w:i/>
          <w:sz w:val="24"/>
          <w:szCs w:val="24"/>
        </w:rPr>
        <w:t xml:space="preserve">за счет проводимых мероприятий по оптимизации численности персонала, </w:t>
      </w:r>
      <w:r w:rsidR="000D0618" w:rsidRPr="006234E9">
        <w:rPr>
          <w:rFonts w:ascii="Times New Roman" w:hAnsi="Times New Roman" w:cs="Times New Roman"/>
          <w:i/>
          <w:sz w:val="24"/>
          <w:szCs w:val="24"/>
        </w:rPr>
        <w:t xml:space="preserve">совокупный объем затрат </w:t>
      </w:r>
      <w:r w:rsidR="006234E9" w:rsidRPr="006234E9">
        <w:rPr>
          <w:rFonts w:ascii="Times New Roman" w:hAnsi="Times New Roman" w:cs="Times New Roman"/>
          <w:i/>
          <w:sz w:val="24"/>
          <w:szCs w:val="24"/>
        </w:rPr>
        <w:t xml:space="preserve">на вознаграждение работников </w:t>
      </w:r>
      <w:r w:rsidR="000D0618">
        <w:rPr>
          <w:rFonts w:ascii="Times New Roman" w:hAnsi="Times New Roman" w:cs="Times New Roman"/>
          <w:i/>
          <w:sz w:val="24"/>
          <w:szCs w:val="24"/>
        </w:rPr>
        <w:t>снизил</w:t>
      </w:r>
      <w:r w:rsidR="006543E5">
        <w:rPr>
          <w:rFonts w:ascii="Times New Roman" w:hAnsi="Times New Roman" w:cs="Times New Roman"/>
          <w:i/>
          <w:sz w:val="24"/>
          <w:szCs w:val="24"/>
        </w:rPr>
        <w:t>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всего</w:t>
      </w:r>
      <w:r w:rsidR="006234E9" w:rsidRPr="006234E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EA08A0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6234E9" w:rsidRPr="00EA0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 w:rsidRPr="00EA08A0">
        <w:rPr>
          <w:rFonts w:ascii="Times New Roman" w:hAnsi="Times New Roman" w:cs="Times New Roman"/>
          <w:i/>
          <w:sz w:val="24"/>
          <w:szCs w:val="24"/>
        </w:rPr>
        <w:t>млн</w:t>
      </w:r>
      <w:r w:rsidRPr="00EA08A0">
        <w:rPr>
          <w:rFonts w:ascii="Times New Roman" w:hAnsi="Times New Roman" w:cs="Times New Roman"/>
          <w:i/>
          <w:sz w:val="24"/>
          <w:szCs w:val="24"/>
        </w:rPr>
        <w:t>.</w:t>
      </w:r>
      <w:r w:rsidR="006234E9" w:rsidRPr="00EA08A0">
        <w:rPr>
          <w:rFonts w:ascii="Times New Roman" w:hAnsi="Times New Roman" w:cs="Times New Roman"/>
          <w:i/>
          <w:sz w:val="24"/>
          <w:szCs w:val="24"/>
        </w:rPr>
        <w:t xml:space="preserve"> рублей (таблица №1</w:t>
      </w:r>
      <w:r w:rsidR="006234E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234E9" w:rsidRPr="006234E9" w:rsidRDefault="006234E9" w:rsidP="006234E9">
      <w:pPr>
        <w:pStyle w:val="a5"/>
        <w:tabs>
          <w:tab w:val="left" w:pos="567"/>
        </w:tabs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4E9">
        <w:rPr>
          <w:rFonts w:ascii="Times New Roman" w:hAnsi="Times New Roman" w:cs="Times New Roman"/>
          <w:i/>
          <w:szCs w:val="24"/>
        </w:rPr>
        <w:t>Таблица №1. Воз</w:t>
      </w:r>
      <w:r w:rsidR="009B6651">
        <w:rPr>
          <w:rFonts w:ascii="Times New Roman" w:hAnsi="Times New Roman" w:cs="Times New Roman"/>
          <w:i/>
          <w:szCs w:val="24"/>
        </w:rPr>
        <w:t>награждение работников 2020-2021 гг.</w:t>
      </w:r>
      <w:r w:rsidR="00582C4F">
        <w:rPr>
          <w:rFonts w:ascii="Times New Roman" w:hAnsi="Times New Roman" w:cs="Times New Roman"/>
          <w:i/>
          <w:szCs w:val="24"/>
        </w:rPr>
        <w:t xml:space="preserve"> (</w:t>
      </w:r>
      <w:r w:rsidR="008B67B8">
        <w:rPr>
          <w:rFonts w:ascii="Times New Roman" w:hAnsi="Times New Roman" w:cs="Times New Roman"/>
          <w:i/>
          <w:szCs w:val="24"/>
        </w:rPr>
        <w:t>млн</w:t>
      </w:r>
      <w:r w:rsidR="00582C4F"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2"/>
        <w:gridCol w:w="1293"/>
        <w:gridCol w:w="1293"/>
        <w:gridCol w:w="1294"/>
      </w:tblGrid>
      <w:tr w:rsidR="003943F7" w:rsidRPr="006234E9" w:rsidTr="006234E9">
        <w:trPr>
          <w:trHeight w:val="465"/>
        </w:trPr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D81C62" w:rsidRDefault="00D81C62" w:rsidP="00D8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1C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Вознаграждение работникам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D81C62" w:rsidRDefault="00D81C62" w:rsidP="00D8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1C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D81C62" w:rsidRDefault="00D81C62" w:rsidP="00D8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1C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6234E9" w:rsidRDefault="006B3283" w:rsidP="006B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Изм.</w:t>
            </w:r>
          </w:p>
        </w:tc>
      </w:tr>
      <w:tr w:rsidR="003943F7" w:rsidRPr="00D81C62" w:rsidTr="006234E9">
        <w:trPr>
          <w:trHeight w:val="300"/>
        </w:trPr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D81C62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D81C62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D81C62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D81C62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3F7" w:rsidRPr="00D81C62" w:rsidTr="006234E9">
        <w:trPr>
          <w:trHeight w:val="300"/>
        </w:trPr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3943F7" w:rsidP="00F45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Вознаграждение работникам (в составе себестоимости) 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EA08A0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D81C62" w:rsidRPr="00D81C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EA08A0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D81C62" w:rsidRPr="00D81C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EA08A0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</w:t>
            </w:r>
          </w:p>
        </w:tc>
      </w:tr>
      <w:tr w:rsidR="003943F7" w:rsidRPr="00D81C62" w:rsidTr="006234E9">
        <w:trPr>
          <w:trHeight w:val="300"/>
        </w:trPr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3943F7" w:rsidP="00EA08A0">
            <w:pPr>
              <w:spacing w:after="0" w:line="240" w:lineRule="auto"/>
              <w:ind w:right="-57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Вознаграждение работникам (в составе а</w:t>
            </w:r>
            <w:r w:rsidR="00D81C62" w:rsidRPr="00D81C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дминистративны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r w:rsidR="00F457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81C62" w:rsidRPr="00D81C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</w:t>
            </w:r>
            <w:r w:rsidR="00EA0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ходов</w:t>
            </w:r>
            <w:proofErr w:type="gramStart"/>
            <w:r w:rsidR="00EA0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="00D81C62" w:rsidRPr="00D81C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gramEnd"/>
            <w:r w:rsidR="00D81C62" w:rsidRPr="00D81C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ов)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EA08A0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EA08A0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D81C62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4E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</w:t>
            </w:r>
            <w:r w:rsidR="00EA08A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709</w:t>
            </w:r>
          </w:p>
        </w:tc>
      </w:tr>
      <w:tr w:rsidR="003943F7" w:rsidRPr="00D81C62" w:rsidTr="006234E9">
        <w:trPr>
          <w:trHeight w:val="315"/>
        </w:trPr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1C62" w:rsidRPr="00D81C62" w:rsidRDefault="00D81C62" w:rsidP="00D81C6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C62" w:rsidRPr="00D81C62" w:rsidRDefault="00D81C62" w:rsidP="00D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C62" w:rsidRPr="00D81C62" w:rsidRDefault="00D81C62" w:rsidP="00D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C62" w:rsidRPr="00D81C62" w:rsidRDefault="00D81C62" w:rsidP="00D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3F7" w:rsidRPr="00D81C62" w:rsidTr="003D0530">
        <w:trPr>
          <w:trHeight w:val="315"/>
        </w:trPr>
        <w:tc>
          <w:tcPr>
            <w:tcW w:w="1769" w:type="pct"/>
            <w:tcBorders>
              <w:top w:val="nil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D81C62" w:rsidP="00D8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1C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EA08A0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6 334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EA08A0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6 414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0D0618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061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  <w:r w:rsidR="00EA08A0" w:rsidRPr="000D061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80</w:t>
            </w:r>
          </w:p>
        </w:tc>
      </w:tr>
    </w:tbl>
    <w:p w:rsidR="00D81C62" w:rsidRDefault="00D81C62" w:rsidP="00D81C62">
      <w:pPr>
        <w:pStyle w:val="a5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C2F" w:rsidRDefault="00EE2D2D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9C3486">
        <w:rPr>
          <w:rFonts w:ascii="Times New Roman" w:hAnsi="Times New Roman" w:cs="Times New Roman"/>
          <w:i/>
          <w:sz w:val="24"/>
          <w:szCs w:val="24"/>
        </w:rPr>
        <w:tab/>
      </w:r>
      <w:r w:rsidR="004946E3">
        <w:rPr>
          <w:rFonts w:ascii="Times New Roman" w:hAnsi="Times New Roman" w:cs="Times New Roman"/>
          <w:i/>
          <w:sz w:val="24"/>
          <w:szCs w:val="24"/>
        </w:rPr>
        <w:t>Уровень административных затрат по итогам 2021 года составил 1 048 млн. рублей</w:t>
      </w:r>
      <w:r w:rsidR="00711BB8">
        <w:rPr>
          <w:rFonts w:ascii="Times New Roman" w:hAnsi="Times New Roman" w:cs="Times New Roman"/>
          <w:i/>
          <w:sz w:val="24"/>
          <w:szCs w:val="24"/>
        </w:rPr>
        <w:t xml:space="preserve"> что ниже уровня 2020 года на 805 млн. рублей. За исключением распределения затрат на вознаграждение работников  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за отчетный период отмечается снижение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>общехозяйственных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затрат, что является результатом проводимой на предприятии работы по оптимизации расходов. </w:t>
      </w:r>
      <w:r w:rsidR="00F45770" w:rsidRPr="00711BB8">
        <w:rPr>
          <w:rFonts w:ascii="Times New Roman" w:hAnsi="Times New Roman" w:cs="Times New Roman"/>
          <w:i/>
          <w:sz w:val="24"/>
          <w:szCs w:val="24"/>
        </w:rPr>
        <w:t xml:space="preserve">Например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 xml:space="preserve">содержание офиса 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сокращены на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>20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B67B8" w:rsidRPr="00711BB8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>затраты на связь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низились на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>11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 w:rsidRPr="00711BB8">
        <w:rPr>
          <w:rFonts w:ascii="Times New Roman" w:hAnsi="Times New Roman" w:cs="Times New Roman"/>
          <w:i/>
          <w:sz w:val="24"/>
          <w:szCs w:val="24"/>
        </w:rPr>
        <w:t>млн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, затраты на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>автотранспорт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снижены на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>15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 w:rsidRPr="00711BB8">
        <w:rPr>
          <w:rFonts w:ascii="Times New Roman" w:hAnsi="Times New Roman" w:cs="Times New Roman"/>
          <w:i/>
          <w:sz w:val="24"/>
          <w:szCs w:val="24"/>
        </w:rPr>
        <w:t>млн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>юридические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расходы снизились на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>15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 w:rsidRPr="00711BB8">
        <w:rPr>
          <w:rFonts w:ascii="Times New Roman" w:hAnsi="Times New Roman" w:cs="Times New Roman"/>
          <w:i/>
          <w:sz w:val="24"/>
          <w:szCs w:val="24"/>
        </w:rPr>
        <w:t>млн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>руб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>лей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>.</w:t>
      </w:r>
    </w:p>
    <w:p w:rsidR="008C5E37" w:rsidRDefault="008C5E37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По итогам 1 полугодия 2021 года операционная прибыль предприятия сложил</w:t>
      </w:r>
      <w:r w:rsidR="00582C4F">
        <w:rPr>
          <w:rFonts w:ascii="Times New Roman" w:hAnsi="Times New Roman" w:cs="Times New Roman"/>
          <w:i/>
          <w:sz w:val="24"/>
          <w:szCs w:val="24"/>
        </w:rPr>
        <w:t>ась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582C4F">
        <w:rPr>
          <w:rFonts w:ascii="Times New Roman" w:hAnsi="Times New Roman" w:cs="Times New Roman"/>
          <w:i/>
          <w:sz w:val="24"/>
          <w:szCs w:val="24"/>
        </w:rPr>
        <w:t xml:space="preserve"> размере </w:t>
      </w:r>
      <w:r w:rsidR="00AA7593">
        <w:rPr>
          <w:rFonts w:ascii="Times New Roman" w:hAnsi="Times New Roman" w:cs="Times New Roman"/>
          <w:i/>
          <w:sz w:val="24"/>
          <w:szCs w:val="24"/>
        </w:rPr>
        <w:t>915</w:t>
      </w:r>
      <w:r w:rsidR="00582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AA7593">
        <w:rPr>
          <w:rFonts w:ascii="Times New Roman" w:hAnsi="Times New Roman" w:cs="Times New Roman"/>
          <w:i/>
          <w:sz w:val="24"/>
          <w:szCs w:val="24"/>
        </w:rPr>
        <w:t>.</w:t>
      </w:r>
      <w:r w:rsidR="00582C4F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E56042">
        <w:rPr>
          <w:rFonts w:ascii="Times New Roman" w:hAnsi="Times New Roman" w:cs="Times New Roman"/>
          <w:i/>
          <w:sz w:val="24"/>
          <w:szCs w:val="24"/>
        </w:rPr>
        <w:t>. По</w:t>
      </w:r>
      <w:r w:rsidR="001F3064">
        <w:rPr>
          <w:rFonts w:ascii="Times New Roman" w:hAnsi="Times New Roman" w:cs="Times New Roman"/>
          <w:i/>
          <w:sz w:val="24"/>
          <w:szCs w:val="24"/>
        </w:rPr>
        <w:t xml:space="preserve"> сравнению с </w:t>
      </w:r>
      <w:r w:rsidR="00AA7593">
        <w:rPr>
          <w:rFonts w:ascii="Times New Roman" w:hAnsi="Times New Roman" w:cs="Times New Roman"/>
          <w:i/>
          <w:sz w:val="24"/>
          <w:szCs w:val="24"/>
        </w:rPr>
        <w:t>показателем</w:t>
      </w:r>
      <w:r w:rsidR="001F3064">
        <w:rPr>
          <w:rFonts w:ascii="Times New Roman" w:hAnsi="Times New Roman" w:cs="Times New Roman"/>
          <w:i/>
          <w:sz w:val="24"/>
          <w:szCs w:val="24"/>
        </w:rPr>
        <w:t xml:space="preserve"> 2020 года зафиксировано </w:t>
      </w:r>
      <w:r w:rsidR="00711BB8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="001F306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CD7AF8">
        <w:rPr>
          <w:rFonts w:ascii="Times New Roman" w:hAnsi="Times New Roman" w:cs="Times New Roman"/>
          <w:i/>
          <w:sz w:val="24"/>
          <w:szCs w:val="24"/>
        </w:rPr>
        <w:t>1</w:t>
      </w:r>
      <w:r w:rsidR="00AA7593">
        <w:rPr>
          <w:rFonts w:ascii="Times New Roman" w:hAnsi="Times New Roman" w:cs="Times New Roman"/>
          <w:i/>
          <w:sz w:val="24"/>
          <w:szCs w:val="24"/>
        </w:rPr>
        <w:t>09</w:t>
      </w:r>
      <w:r w:rsidR="003A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AA7593">
        <w:rPr>
          <w:rFonts w:ascii="Times New Roman" w:hAnsi="Times New Roman" w:cs="Times New Roman"/>
          <w:i/>
          <w:sz w:val="24"/>
          <w:szCs w:val="24"/>
        </w:rPr>
        <w:t>.</w:t>
      </w:r>
      <w:r w:rsidR="003A6888">
        <w:rPr>
          <w:rFonts w:ascii="Times New Roman" w:hAnsi="Times New Roman" w:cs="Times New Roman"/>
          <w:i/>
          <w:sz w:val="24"/>
          <w:szCs w:val="24"/>
        </w:rPr>
        <w:t xml:space="preserve"> рублей (таблица №2).</w:t>
      </w:r>
    </w:p>
    <w:p w:rsidR="00C86F82" w:rsidRPr="001F3064" w:rsidRDefault="00C86F82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AF9" w:rsidRPr="006234E9" w:rsidRDefault="00573AF9" w:rsidP="00573AF9">
      <w:pPr>
        <w:pStyle w:val="a5"/>
        <w:tabs>
          <w:tab w:val="left" w:pos="567"/>
        </w:tabs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4E9">
        <w:rPr>
          <w:rFonts w:ascii="Times New Roman" w:hAnsi="Times New Roman" w:cs="Times New Roman"/>
          <w:i/>
          <w:szCs w:val="24"/>
        </w:rPr>
        <w:t>Таблица №</w:t>
      </w:r>
      <w:r>
        <w:rPr>
          <w:rFonts w:ascii="Times New Roman" w:hAnsi="Times New Roman" w:cs="Times New Roman"/>
          <w:i/>
          <w:szCs w:val="24"/>
        </w:rPr>
        <w:t>2</w:t>
      </w:r>
      <w:r w:rsidRPr="006234E9">
        <w:rPr>
          <w:rFonts w:ascii="Times New Roman" w:hAnsi="Times New Roman" w:cs="Times New Roman"/>
          <w:i/>
          <w:szCs w:val="24"/>
        </w:rPr>
        <w:t xml:space="preserve">. </w:t>
      </w:r>
      <w:r>
        <w:rPr>
          <w:rFonts w:ascii="Times New Roman" w:hAnsi="Times New Roman" w:cs="Times New Roman"/>
          <w:i/>
          <w:szCs w:val="24"/>
        </w:rPr>
        <w:t>Операционная прибыль 202</w:t>
      </w:r>
      <w:r w:rsidR="003A6888">
        <w:rPr>
          <w:rFonts w:ascii="Times New Roman" w:hAnsi="Times New Roman" w:cs="Times New Roman"/>
          <w:i/>
          <w:szCs w:val="24"/>
        </w:rPr>
        <w:t>1-2020 гг. (</w:t>
      </w:r>
      <w:r w:rsidR="008B67B8">
        <w:rPr>
          <w:rFonts w:ascii="Times New Roman" w:hAnsi="Times New Roman" w:cs="Times New Roman"/>
          <w:i/>
          <w:szCs w:val="24"/>
        </w:rPr>
        <w:t>млн</w:t>
      </w:r>
      <w:r w:rsidR="003A6888"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80"/>
        <w:gridCol w:w="1170"/>
        <w:gridCol w:w="1797"/>
        <w:gridCol w:w="1795"/>
      </w:tblGrid>
      <w:tr w:rsidR="00101DFA" w:rsidRPr="008C5E37" w:rsidTr="00101DFA">
        <w:trPr>
          <w:trHeight w:val="315"/>
        </w:trPr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DFA" w:rsidP="008C5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711BB8" w:rsidP="00573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711BB8" w:rsidP="00573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97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DFA" w:rsidRDefault="006B3283" w:rsidP="00101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Изм.</w:t>
            </w:r>
          </w:p>
        </w:tc>
      </w:tr>
      <w:tr w:rsidR="00101DFA" w:rsidRPr="008C5E37" w:rsidTr="00101DF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DFA" w:rsidP="008C5E3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Операционная прибыль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711BB8" w:rsidP="003A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711BB8" w:rsidP="0071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DFA" w:rsidRPr="008C5E37" w:rsidRDefault="00711BB8" w:rsidP="00101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</w:tr>
      <w:tr w:rsidR="00101DFA" w:rsidRPr="008C5E37" w:rsidTr="00101DFA">
        <w:trPr>
          <w:trHeight w:val="315"/>
        </w:trPr>
        <w:tc>
          <w:tcPr>
            <w:tcW w:w="24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DFA" w:rsidP="008C5E3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Рентабельность по опер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C5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рибыли, %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711BB8" w:rsidP="00573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711BB8" w:rsidP="00573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7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01DFA" w:rsidRPr="008C5E37" w:rsidRDefault="00711BB8" w:rsidP="00573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</w:tbl>
    <w:p w:rsidR="001F3064" w:rsidRDefault="001F3064" w:rsidP="001F306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7593" w:rsidRDefault="00AA7593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Также наблюдается улучшение финансового результата по сравнению с прошлым годом на 305 млн. рублей. Чистый убыток предприятия по итогам 2021 года составил 334 млн. рублей</w:t>
      </w:r>
      <w:r w:rsidR="00284011">
        <w:rPr>
          <w:rFonts w:ascii="Times New Roman" w:hAnsi="Times New Roman" w:cs="Times New Roman"/>
          <w:i/>
          <w:sz w:val="24"/>
          <w:szCs w:val="24"/>
        </w:rPr>
        <w:t xml:space="preserve"> (таблица №3). </w:t>
      </w:r>
    </w:p>
    <w:p w:rsidR="00877FC3" w:rsidRPr="006234E9" w:rsidRDefault="00877FC3" w:rsidP="00877FC3">
      <w:pPr>
        <w:pStyle w:val="a5"/>
        <w:tabs>
          <w:tab w:val="left" w:pos="567"/>
        </w:tabs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4E9">
        <w:rPr>
          <w:rFonts w:ascii="Times New Roman" w:hAnsi="Times New Roman" w:cs="Times New Roman"/>
          <w:i/>
          <w:szCs w:val="24"/>
        </w:rPr>
        <w:t>Таблица №</w:t>
      </w:r>
      <w:r w:rsidR="00711BB8">
        <w:rPr>
          <w:rFonts w:ascii="Times New Roman" w:hAnsi="Times New Roman" w:cs="Times New Roman"/>
          <w:i/>
          <w:szCs w:val="24"/>
        </w:rPr>
        <w:t>3</w:t>
      </w:r>
      <w:r w:rsidRPr="006234E9">
        <w:rPr>
          <w:rFonts w:ascii="Times New Roman" w:hAnsi="Times New Roman" w:cs="Times New Roman"/>
          <w:i/>
          <w:szCs w:val="24"/>
        </w:rPr>
        <w:t xml:space="preserve">. </w:t>
      </w:r>
      <w:r>
        <w:rPr>
          <w:rFonts w:ascii="Times New Roman" w:hAnsi="Times New Roman" w:cs="Times New Roman"/>
          <w:i/>
          <w:szCs w:val="24"/>
        </w:rPr>
        <w:t>Финансовые показатели (</w:t>
      </w:r>
      <w:r w:rsidR="008B67B8">
        <w:rPr>
          <w:rFonts w:ascii="Times New Roman" w:hAnsi="Times New Roman" w:cs="Times New Roman"/>
          <w:i/>
          <w:szCs w:val="24"/>
        </w:rPr>
        <w:t>млн</w:t>
      </w:r>
      <w:r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4"/>
        <w:gridCol w:w="1770"/>
        <w:gridCol w:w="1769"/>
        <w:gridCol w:w="1769"/>
      </w:tblGrid>
      <w:tr w:rsidR="00666778" w:rsidRPr="008C5E37" w:rsidTr="00E56042">
        <w:trPr>
          <w:trHeight w:val="315"/>
        </w:trPr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778" w:rsidRPr="008C5E37" w:rsidRDefault="00666778" w:rsidP="00666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778" w:rsidRPr="008C5E37" w:rsidRDefault="00711BB8" w:rsidP="0009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778" w:rsidRPr="008C5E37" w:rsidRDefault="00711BB8" w:rsidP="00666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6778" w:rsidRDefault="006B3283" w:rsidP="006B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Изм.</w:t>
            </w:r>
          </w:p>
        </w:tc>
      </w:tr>
      <w:tr w:rsidR="00F01AE4" w:rsidRPr="008C5E37" w:rsidTr="00E56042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284011" w:rsidRDefault="00F01AE4" w:rsidP="00711B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Чистая прибыль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8C5E37" w:rsidRDefault="00F01AE4" w:rsidP="0071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11BB8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8C5E37" w:rsidRDefault="00F01AE4" w:rsidP="0071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11BB8"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AE4" w:rsidRPr="008C5E37" w:rsidRDefault="00711BB8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</w:tr>
      <w:tr w:rsidR="00F01AE4" w:rsidRPr="008C5E37" w:rsidTr="00E56042">
        <w:trPr>
          <w:trHeight w:val="315"/>
        </w:trPr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AE4" w:rsidRPr="008C5E37" w:rsidRDefault="00F01AE4" w:rsidP="00711B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EBIT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AE4" w:rsidRPr="008C5E37" w:rsidRDefault="00711BB8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AE4" w:rsidRPr="008C5E37" w:rsidRDefault="00711BB8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1 243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AE4" w:rsidRPr="008C5E37" w:rsidRDefault="00711BB8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-382</w:t>
            </w:r>
          </w:p>
        </w:tc>
      </w:tr>
      <w:tr w:rsidR="00F01AE4" w:rsidRPr="008C5E37" w:rsidTr="00E56042">
        <w:trPr>
          <w:trHeight w:val="315"/>
        </w:trPr>
        <w:tc>
          <w:tcPr>
            <w:tcW w:w="21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01AE4" w:rsidRPr="00711BB8" w:rsidRDefault="00F01AE4" w:rsidP="00711B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EBITDA</w:t>
            </w:r>
          </w:p>
        </w:tc>
        <w:tc>
          <w:tcPr>
            <w:tcW w:w="9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01AE4" w:rsidRDefault="00711BB8" w:rsidP="00711B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01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01AE4" w:rsidRDefault="00711BB8" w:rsidP="00582C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</w:t>
            </w:r>
          </w:p>
        </w:tc>
        <w:tc>
          <w:tcPr>
            <w:tcW w:w="95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01AE4" w:rsidRDefault="00711BB8" w:rsidP="00582C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</w:tr>
    </w:tbl>
    <w:p w:rsidR="00E56042" w:rsidRDefault="00E56042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486" w:rsidRPr="009C3486" w:rsidRDefault="0028401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Показатель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EBIT</w:t>
      </w:r>
      <w:r w:rsidRPr="002840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(прибыль до вычета процентов и налогов) по итогам 2021 года составил 861 млн. рублей, что ниже показателя 2020 года на 382 млн. рублей. </w:t>
      </w:r>
      <w:r w:rsidR="009C3486">
        <w:rPr>
          <w:rFonts w:ascii="Times New Roman" w:hAnsi="Times New Roman" w:cs="Times New Roman"/>
          <w:i/>
          <w:sz w:val="24"/>
          <w:szCs w:val="24"/>
        </w:rPr>
        <w:t xml:space="preserve">При этом показатель </w:t>
      </w:r>
      <w:r w:rsidR="009C3486">
        <w:rPr>
          <w:rFonts w:ascii="Times New Roman" w:hAnsi="Times New Roman" w:cs="Times New Roman"/>
          <w:i/>
          <w:sz w:val="24"/>
          <w:szCs w:val="24"/>
          <w:lang w:val="en-US"/>
        </w:rPr>
        <w:t>EBITDA</w:t>
      </w:r>
      <w:r w:rsidR="009C3486" w:rsidRPr="009C3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486">
        <w:rPr>
          <w:rFonts w:ascii="Times New Roman" w:hAnsi="Times New Roman" w:cs="Times New Roman"/>
          <w:i/>
          <w:sz w:val="24"/>
          <w:szCs w:val="24"/>
        </w:rPr>
        <w:t>(</w:t>
      </w:r>
      <w:r w:rsidR="009C3486" w:rsidRPr="009C3486">
        <w:rPr>
          <w:rFonts w:ascii="Times New Roman" w:hAnsi="Times New Roman" w:cs="Times New Roman"/>
          <w:i/>
          <w:sz w:val="24"/>
          <w:szCs w:val="24"/>
        </w:rPr>
        <w:t>прибыл</w:t>
      </w:r>
      <w:r w:rsidR="009C3486">
        <w:rPr>
          <w:rFonts w:ascii="Times New Roman" w:hAnsi="Times New Roman" w:cs="Times New Roman"/>
          <w:i/>
          <w:sz w:val="24"/>
          <w:szCs w:val="24"/>
        </w:rPr>
        <w:t>ь</w:t>
      </w:r>
      <w:r w:rsidR="009C3486" w:rsidRPr="009C3486">
        <w:rPr>
          <w:rFonts w:ascii="Times New Roman" w:hAnsi="Times New Roman" w:cs="Times New Roman"/>
          <w:i/>
          <w:sz w:val="24"/>
          <w:szCs w:val="24"/>
        </w:rPr>
        <w:t xml:space="preserve"> до вычета процентов, налогов и начисленной амортизации</w:t>
      </w:r>
      <w:r w:rsidR="009C3486">
        <w:rPr>
          <w:rFonts w:ascii="Times New Roman" w:hAnsi="Times New Roman" w:cs="Times New Roman"/>
          <w:i/>
          <w:sz w:val="24"/>
          <w:szCs w:val="24"/>
        </w:rPr>
        <w:t>) увеличился на 140 млн. руб. и составил 3 352 млн. руб.</w:t>
      </w:r>
    </w:p>
    <w:p w:rsidR="00E90161" w:rsidRDefault="00E56042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91FC7" w:rsidRDefault="00891FC7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FC7" w:rsidRDefault="00891FC7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FC7" w:rsidRDefault="00891FC7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FC7" w:rsidRDefault="00891FC7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C2F" w:rsidRDefault="00426C2F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F82" w:rsidRPr="00C86F82" w:rsidRDefault="00C86F82" w:rsidP="00C86F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F82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Структура и динамика обязательств</w:t>
      </w:r>
    </w:p>
    <w:p w:rsidR="00C86F82" w:rsidRPr="00C86F82" w:rsidRDefault="00C86F82" w:rsidP="00C86F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268A" w:rsidRDefault="00C86F82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82">
        <w:rPr>
          <w:rFonts w:ascii="Times New Roman" w:hAnsi="Times New Roman" w:cs="Times New Roman"/>
          <w:i/>
          <w:sz w:val="24"/>
          <w:szCs w:val="24"/>
        </w:rPr>
        <w:tab/>
        <w:t xml:space="preserve">Дебиторская задолженность по состоянию на 31.12.2021 г. составила </w:t>
      </w:r>
      <w:r w:rsidR="009C268A">
        <w:rPr>
          <w:rFonts w:ascii="Times New Roman" w:hAnsi="Times New Roman" w:cs="Times New Roman"/>
          <w:i/>
          <w:sz w:val="24"/>
          <w:szCs w:val="24"/>
        </w:rPr>
        <w:t>3 870</w:t>
      </w:r>
      <w:r w:rsidRPr="00C86F82">
        <w:rPr>
          <w:rFonts w:ascii="Times New Roman" w:hAnsi="Times New Roman" w:cs="Times New Roman"/>
          <w:i/>
          <w:sz w:val="24"/>
          <w:szCs w:val="24"/>
        </w:rPr>
        <w:t xml:space="preserve"> млн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6F82">
        <w:rPr>
          <w:rFonts w:ascii="Times New Roman" w:hAnsi="Times New Roman" w:cs="Times New Roman"/>
          <w:i/>
          <w:sz w:val="24"/>
          <w:szCs w:val="24"/>
        </w:rPr>
        <w:t xml:space="preserve"> рублей, по сравнению с аналогичным периодом прошлого года </w:t>
      </w:r>
      <w:r w:rsidR="009C268A">
        <w:rPr>
          <w:rFonts w:ascii="Times New Roman" w:hAnsi="Times New Roman" w:cs="Times New Roman"/>
          <w:i/>
          <w:sz w:val="24"/>
          <w:szCs w:val="24"/>
        </w:rPr>
        <w:t>снизился на 18,2 млн. рублей.</w:t>
      </w:r>
      <w:bookmarkStart w:id="0" w:name="_GoBack"/>
      <w:bookmarkEnd w:id="0"/>
    </w:p>
    <w:p w:rsidR="00C86F82" w:rsidRDefault="00C86F82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2">
        <w:rPr>
          <w:rFonts w:ascii="Times New Roman" w:hAnsi="Times New Roman" w:cs="Times New Roman"/>
          <w:i/>
          <w:sz w:val="24"/>
          <w:szCs w:val="24"/>
        </w:rPr>
        <w:tab/>
        <w:t xml:space="preserve">Кредиторская задолженность предприятия </w:t>
      </w:r>
      <w:r w:rsidR="00D651A5">
        <w:rPr>
          <w:rFonts w:ascii="Times New Roman" w:hAnsi="Times New Roman" w:cs="Times New Roman"/>
          <w:i/>
          <w:sz w:val="24"/>
          <w:szCs w:val="24"/>
        </w:rPr>
        <w:t xml:space="preserve">на 31.12.2021 г. составила 3 554 </w:t>
      </w:r>
      <w:r w:rsidRPr="00C86F82">
        <w:rPr>
          <w:rFonts w:ascii="Times New Roman" w:hAnsi="Times New Roman" w:cs="Times New Roman"/>
          <w:i/>
          <w:sz w:val="24"/>
          <w:szCs w:val="24"/>
        </w:rPr>
        <w:t>млн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6F82">
        <w:rPr>
          <w:rFonts w:ascii="Times New Roman" w:hAnsi="Times New Roman" w:cs="Times New Roman"/>
          <w:i/>
          <w:sz w:val="24"/>
          <w:szCs w:val="24"/>
        </w:rPr>
        <w:t xml:space="preserve"> рублей, снизившись по сравнению с аналогичным периодом прошлого года на 6,2%.</w:t>
      </w:r>
      <w:r w:rsidRPr="00CD525E">
        <w:rPr>
          <w:rFonts w:ascii="Times New Roman" w:hAnsi="Times New Roman" w:cs="Times New Roman"/>
          <w:sz w:val="24"/>
          <w:szCs w:val="24"/>
        </w:rPr>
        <w:t> </w:t>
      </w:r>
    </w:p>
    <w:p w:rsidR="00C86F82" w:rsidRPr="00C86F82" w:rsidRDefault="00C86F82" w:rsidP="00C86F82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C86F82">
        <w:rPr>
          <w:rFonts w:ascii="Times New Roman" w:hAnsi="Times New Roman" w:cs="Times New Roman"/>
          <w:i/>
          <w:szCs w:val="24"/>
        </w:rPr>
        <w:t>Таблица №4</w:t>
      </w:r>
      <w:r w:rsidR="00E71564">
        <w:rPr>
          <w:rFonts w:ascii="Times New Roman" w:hAnsi="Times New Roman" w:cs="Times New Roman"/>
          <w:i/>
          <w:szCs w:val="24"/>
        </w:rPr>
        <w:t>. Обязательства 2020-2021 гг. (</w:t>
      </w:r>
      <w:proofErr w:type="spellStart"/>
      <w:proofErr w:type="gramStart"/>
      <w:r w:rsidR="00E71564">
        <w:rPr>
          <w:rFonts w:ascii="Times New Roman" w:hAnsi="Times New Roman" w:cs="Times New Roman"/>
          <w:i/>
          <w:szCs w:val="24"/>
        </w:rPr>
        <w:t>тыс</w:t>
      </w:r>
      <w:proofErr w:type="spellEnd"/>
      <w:proofErr w:type="gramEnd"/>
      <w:r w:rsidRPr="00C86F82"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120"/>
        <w:gridCol w:w="1900"/>
        <w:gridCol w:w="1840"/>
        <w:gridCol w:w="1240"/>
      </w:tblGrid>
      <w:tr w:rsidR="00C86F82" w:rsidRPr="00F111ED" w:rsidTr="00907C7B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декабря 2021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декабря 2020 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%21</w:t>
            </w:r>
          </w:p>
        </w:tc>
      </w:tr>
      <w:tr w:rsidR="00C86F82" w:rsidRPr="00F111ED" w:rsidTr="00907C7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Банковские кредиты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4 793 342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5 670 806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</w:t>
            </w:r>
          </w:p>
        </w:tc>
      </w:tr>
      <w:tr w:rsidR="00C86F82" w:rsidRPr="00F111ED" w:rsidTr="00907C7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3 468 398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2 579 687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134,5</w:t>
            </w:r>
          </w:p>
        </w:tc>
      </w:tr>
      <w:tr w:rsidR="00C86F82" w:rsidRPr="00F111ED" w:rsidTr="00907C7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Облигационный заем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2 965 812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2 957 629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100,3</w:t>
            </w:r>
          </w:p>
        </w:tc>
      </w:tr>
      <w:tr w:rsidR="00C86F82" w:rsidRPr="00F111ED" w:rsidTr="00907C7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долгосрочные кредиты и займы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11 227 552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11 208 122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C86F82" w:rsidRPr="00F111ED" w:rsidTr="00907C7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Банковские кредиты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5 504 540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4 490 791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122,6</w:t>
            </w:r>
          </w:p>
        </w:tc>
      </w:tr>
      <w:tr w:rsidR="00C86F82" w:rsidRPr="00F111ED" w:rsidTr="00907C7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2 935 271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3 333 211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</w:t>
            </w:r>
          </w:p>
        </w:tc>
      </w:tr>
      <w:tr w:rsidR="00C86F82" w:rsidRPr="00F111ED" w:rsidTr="00907C7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Вексельные займы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244 590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443 055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</w:tr>
      <w:tr w:rsidR="00C86F82" w:rsidRPr="00F111ED" w:rsidTr="00907C7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Факторинг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1 108 201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1 954 060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</w:t>
            </w:r>
          </w:p>
        </w:tc>
      </w:tr>
      <w:tr w:rsidR="00C86F82" w:rsidRPr="00F111ED" w:rsidTr="00907C7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краткосрочные кредиты и займы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9 792 602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10 221 117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5,8</w:t>
            </w:r>
          </w:p>
        </w:tc>
      </w:tr>
      <w:tr w:rsidR="00C86F82" w:rsidRPr="00F111ED" w:rsidTr="00907C7B">
        <w:trPr>
          <w:trHeight w:val="18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F82" w:rsidRPr="00F111ED" w:rsidRDefault="00C86F82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11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6F82" w:rsidRPr="00F111ED" w:rsidTr="00907C7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кредиты и займы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21 020 154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21 429 239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82" w:rsidRPr="00F111ED" w:rsidRDefault="00C86F82" w:rsidP="009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</w:tbl>
    <w:p w:rsidR="00C86F82" w:rsidRDefault="00C86F82" w:rsidP="00C86F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F82" w:rsidRDefault="00C86F82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82">
        <w:rPr>
          <w:rFonts w:ascii="Times New Roman" w:hAnsi="Times New Roman" w:cs="Times New Roman"/>
          <w:i/>
          <w:sz w:val="24"/>
          <w:szCs w:val="24"/>
        </w:rPr>
        <w:tab/>
        <w:t>Кредиты и займы по состоянию на 31.</w:t>
      </w:r>
      <w:r w:rsidR="00D651A5">
        <w:rPr>
          <w:rFonts w:ascii="Times New Roman" w:hAnsi="Times New Roman" w:cs="Times New Roman"/>
          <w:i/>
          <w:sz w:val="24"/>
          <w:szCs w:val="24"/>
        </w:rPr>
        <w:t xml:space="preserve">12.2021 г. составили 21 020 млн. </w:t>
      </w:r>
      <w:r w:rsidRPr="00C86F82">
        <w:rPr>
          <w:rFonts w:ascii="Times New Roman" w:hAnsi="Times New Roman" w:cs="Times New Roman"/>
          <w:i/>
          <w:sz w:val="24"/>
          <w:szCs w:val="24"/>
        </w:rPr>
        <w:t xml:space="preserve">рублей и по сравнению с аналогичным периодом прошлого года уменьшилась на 1,9%. Снижению объема кредитов и займов способствовало уменьшение задолженности по краткосрочным вексельным займам и факторингу. </w:t>
      </w:r>
    </w:p>
    <w:p w:rsidR="000D0618" w:rsidRDefault="000D0618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618" w:rsidRPr="00C86F82" w:rsidRDefault="000D0618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F82" w:rsidRPr="00C86F82" w:rsidRDefault="00C86F82" w:rsidP="00C86F82">
      <w:pPr>
        <w:tabs>
          <w:tab w:val="left" w:pos="567"/>
        </w:tabs>
        <w:spacing w:before="240"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C86F82">
        <w:rPr>
          <w:rFonts w:ascii="Times New Roman" w:hAnsi="Times New Roman" w:cs="Times New Roman"/>
          <w:i/>
          <w:szCs w:val="24"/>
        </w:rPr>
        <w:t>Таблица №5. Долговая нагрузка 2020-2021 гг. (</w:t>
      </w:r>
      <w:proofErr w:type="spellStart"/>
      <w:proofErr w:type="gramStart"/>
      <w:r w:rsidR="00E71564">
        <w:rPr>
          <w:rFonts w:ascii="Times New Roman" w:hAnsi="Times New Roman" w:cs="Times New Roman"/>
          <w:i/>
          <w:szCs w:val="24"/>
        </w:rPr>
        <w:t>тыс</w:t>
      </w:r>
      <w:proofErr w:type="spellEnd"/>
      <w:proofErr w:type="gramEnd"/>
      <w:r w:rsidRPr="00C86F82"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701"/>
        <w:gridCol w:w="1559"/>
        <w:gridCol w:w="1843"/>
        <w:gridCol w:w="1701"/>
      </w:tblGrid>
      <w:tr w:rsidR="00C86F82" w:rsidRPr="0032143F" w:rsidTr="00AC52DD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6F82" w:rsidRPr="0032143F" w:rsidRDefault="00C86F82" w:rsidP="00907C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6F82" w:rsidRPr="0032143F" w:rsidRDefault="00C86F82" w:rsidP="006A61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6A61E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6F82" w:rsidRPr="0032143F" w:rsidRDefault="00C86F82" w:rsidP="006A61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6A61E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6F82" w:rsidRPr="0032143F" w:rsidRDefault="00C86F82" w:rsidP="00907C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2021-2020</w:t>
            </w:r>
          </w:p>
        </w:tc>
      </w:tr>
      <w:tr w:rsidR="00EB3414" w:rsidRPr="0032143F" w:rsidTr="00AC52D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ind w:firstLineChars="100" w:firstLine="16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Чистая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-333 641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-638 696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305 055</w:t>
            </w:r>
          </w:p>
        </w:tc>
      </w:tr>
      <w:tr w:rsidR="00EB3414" w:rsidRPr="0032143F" w:rsidTr="00AC52D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+Налог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-271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54 488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-54 759</w:t>
            </w:r>
          </w:p>
        </w:tc>
      </w:tr>
      <w:tr w:rsidR="00EB3414" w:rsidRPr="0032143F" w:rsidTr="00AC52D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-Возмещенный 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3414" w:rsidRPr="0032143F" w:rsidTr="00AC52D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+Проценты к уплате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1 219 038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1 839 602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-620 564</w:t>
            </w:r>
          </w:p>
        </w:tc>
      </w:tr>
      <w:tr w:rsidR="00EB3414" w:rsidRPr="0032143F" w:rsidTr="00AC52D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-Проценты полученные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24 605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12 485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12 120</w:t>
            </w:r>
          </w:p>
        </w:tc>
      </w:tr>
      <w:tr w:rsidR="00EB3414" w:rsidRPr="0032143F" w:rsidTr="00AC52D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+Амортизация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2 491 517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1 969 226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522 291</w:t>
            </w:r>
          </w:p>
        </w:tc>
      </w:tr>
      <w:tr w:rsidR="00EB3414" w:rsidRPr="0032143F" w:rsidTr="00AC52D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ind w:firstLineChars="100" w:firstLine="16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EBIT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860 521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1 242 909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-382 388</w:t>
            </w:r>
          </w:p>
        </w:tc>
      </w:tr>
      <w:tr w:rsidR="00EB3414" w:rsidRPr="0032143F" w:rsidTr="00AC52D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ind w:firstLineChars="100" w:firstLine="16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EBITDA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3 352 038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3 212 135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139 903</w:t>
            </w:r>
          </w:p>
        </w:tc>
      </w:tr>
      <w:tr w:rsidR="00EB3414" w:rsidRPr="0032143F" w:rsidTr="00AC52D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Долгосрочные заемные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11 394 355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11 359 240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35 115</w:t>
            </w:r>
          </w:p>
        </w:tc>
      </w:tr>
      <w:tr w:rsidR="00EB3414" w:rsidRPr="0032143F" w:rsidTr="00AC52DD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Краткосрочные заемные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14 590 251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15 110 432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-520 181</w:t>
            </w:r>
          </w:p>
        </w:tc>
      </w:tr>
      <w:tr w:rsidR="00EB3414" w:rsidRPr="0032143F" w:rsidTr="00AC52D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25 984 606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26 469 672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-485 066</w:t>
            </w:r>
          </w:p>
        </w:tc>
      </w:tr>
      <w:tr w:rsidR="00EB3414" w:rsidRPr="0032143F" w:rsidTr="00AC52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DEBT / EBITDA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-0,5</w:t>
            </w:r>
          </w:p>
        </w:tc>
      </w:tr>
      <w:tr w:rsidR="00EB3414" w:rsidRPr="0032143F" w:rsidTr="00AC52D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 и их эквиваленты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144 954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363 002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-218 048</w:t>
            </w:r>
          </w:p>
        </w:tc>
      </w:tr>
      <w:tr w:rsidR="00EB3414" w:rsidRPr="0032143F" w:rsidTr="00AC52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Чистый долг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25 839 652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26 106 670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-267 018,0</w:t>
            </w:r>
          </w:p>
        </w:tc>
      </w:tr>
      <w:tr w:rsidR="00EB3414" w:rsidRPr="0032143F" w:rsidTr="00AC52D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6 403 669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5 912 899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490 770</w:t>
            </w:r>
          </w:p>
        </w:tc>
      </w:tr>
      <w:tr w:rsidR="00EB3414" w:rsidRPr="0032143F" w:rsidTr="00AC52D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Скорректированный ДОЛГ (с вычетом </w:t>
            </w:r>
            <w:proofErr w:type="spellStart"/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бюджетнык</w:t>
            </w:r>
            <w:proofErr w:type="spellEnd"/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кредитов)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19 580 937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20 556 773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-975 836</w:t>
            </w:r>
          </w:p>
        </w:tc>
      </w:tr>
      <w:tr w:rsidR="00EB3414" w:rsidRPr="0032143F" w:rsidTr="00AC52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DEBT / EBITDA (с вычетом бюджетных кредитов)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EB3414" w:rsidRDefault="00EB3414" w:rsidP="00EB34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414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414" w:rsidRPr="0032143F" w:rsidRDefault="00EB3414" w:rsidP="00907C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143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-0,6</w:t>
            </w:r>
          </w:p>
        </w:tc>
      </w:tr>
    </w:tbl>
    <w:p w:rsidR="00D0159B" w:rsidRDefault="00C86F82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5E">
        <w:rPr>
          <w:rFonts w:ascii="Times New Roman" w:hAnsi="Times New Roman" w:cs="Times New Roman"/>
          <w:sz w:val="24"/>
          <w:szCs w:val="24"/>
        </w:rPr>
        <w:tab/>
      </w:r>
    </w:p>
    <w:p w:rsidR="00C86F82" w:rsidRPr="00C86F82" w:rsidRDefault="00D0159B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F82" w:rsidRPr="00C86F82">
        <w:rPr>
          <w:rFonts w:ascii="Times New Roman" w:hAnsi="Times New Roman" w:cs="Times New Roman"/>
          <w:i/>
          <w:sz w:val="24"/>
          <w:szCs w:val="24"/>
        </w:rPr>
        <w:t>Соотношение скорректированного показателя чистый долг/</w:t>
      </w:r>
      <w:r w:rsidR="00C86F82" w:rsidRPr="00C86F82">
        <w:rPr>
          <w:rFonts w:ascii="Times New Roman" w:hAnsi="Times New Roman" w:cs="Times New Roman"/>
          <w:i/>
          <w:sz w:val="24"/>
          <w:szCs w:val="24"/>
          <w:lang w:val="en-US"/>
        </w:rPr>
        <w:t>EBITDA</w:t>
      </w:r>
      <w:r w:rsidR="00C86F82" w:rsidRPr="00C86F82">
        <w:rPr>
          <w:rFonts w:ascii="Times New Roman" w:hAnsi="Times New Roman" w:cs="Times New Roman"/>
          <w:i/>
          <w:sz w:val="24"/>
          <w:szCs w:val="24"/>
        </w:rPr>
        <w:t xml:space="preserve"> 2021 (</w:t>
      </w:r>
      <w:r w:rsidR="00C86F82" w:rsidRPr="00C86F82">
        <w:rPr>
          <w:rFonts w:ascii="Times New Roman" w:hAnsi="Times New Roman" w:cs="Times New Roman"/>
          <w:i/>
          <w:sz w:val="24"/>
          <w:szCs w:val="24"/>
          <w:lang w:val="en-US"/>
        </w:rPr>
        <w:t>LTM</w:t>
      </w:r>
      <w:r w:rsidR="00C86F82" w:rsidRPr="00C86F82">
        <w:rPr>
          <w:rFonts w:ascii="Times New Roman" w:hAnsi="Times New Roman" w:cs="Times New Roman"/>
          <w:i/>
          <w:sz w:val="24"/>
          <w:szCs w:val="24"/>
        </w:rPr>
        <w:t>) (за вычетом денежных средств на балансе и бюджетных кредитов) составило 5.8х, против величины в 6.4х годом ранее, то есть наблюдается улучшение данного показателя (таблица №</w:t>
      </w:r>
      <w:r w:rsidR="00C86F82">
        <w:rPr>
          <w:rFonts w:ascii="Times New Roman" w:hAnsi="Times New Roman" w:cs="Times New Roman"/>
          <w:i/>
          <w:sz w:val="24"/>
          <w:szCs w:val="24"/>
        </w:rPr>
        <w:t>5</w:t>
      </w:r>
      <w:r w:rsidR="00C86F82" w:rsidRPr="00C86F82">
        <w:rPr>
          <w:rFonts w:ascii="Times New Roman" w:hAnsi="Times New Roman" w:cs="Times New Roman"/>
          <w:i/>
          <w:sz w:val="24"/>
          <w:szCs w:val="24"/>
        </w:rPr>
        <w:t>).</w:t>
      </w:r>
    </w:p>
    <w:p w:rsidR="00C86F82" w:rsidRPr="00C86F82" w:rsidRDefault="00C86F82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8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C86F82">
        <w:rPr>
          <w:rFonts w:ascii="Times New Roman" w:hAnsi="Times New Roman" w:cs="Times New Roman"/>
          <w:i/>
          <w:sz w:val="24"/>
          <w:szCs w:val="24"/>
        </w:rPr>
        <w:t>В общей структуре задолженности стоит также отметить уменьшение краткосрочных заемных средств, в первую очередь за счет проведенной в 2021 году реструктуризации бюджетных кредитов, а также продолжающемся на протяжении нескольких лет снижением потребности в краткосрочных вексельных займах, привлекаемых для покрытия кассовых разрывов.</w:t>
      </w:r>
      <w:proofErr w:type="gramEnd"/>
    </w:p>
    <w:p w:rsidR="00C86F82" w:rsidRPr="00C86F82" w:rsidRDefault="00C86F82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82">
        <w:rPr>
          <w:rFonts w:ascii="Times New Roman" w:hAnsi="Times New Roman" w:cs="Times New Roman"/>
          <w:i/>
          <w:sz w:val="24"/>
          <w:szCs w:val="24"/>
        </w:rPr>
        <w:tab/>
      </w:r>
      <w:r w:rsidR="00BC6577">
        <w:rPr>
          <w:rFonts w:ascii="Times New Roman" w:hAnsi="Times New Roman" w:cs="Times New Roman"/>
          <w:i/>
          <w:sz w:val="24"/>
          <w:szCs w:val="24"/>
        </w:rPr>
        <w:t>С учетом вышеизложенного можно сделать вывод, что проводимая работа по реструктуризации займов, оптимизации расходов и увеличения доходной базы оказали положительное влияние на улучшение финансово-хозяйственной деятельности предприятия по итогам 2021 года.</w:t>
      </w:r>
    </w:p>
    <w:p w:rsidR="00C86F82" w:rsidRPr="00CD525E" w:rsidRDefault="00C86F82" w:rsidP="00C86F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F82" w:rsidRPr="00CD525E" w:rsidRDefault="00C86F82" w:rsidP="00C86F8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25E">
        <w:rPr>
          <w:rFonts w:ascii="Times New Roman" w:hAnsi="Times New Roman" w:cs="Times New Roman"/>
          <w:i/>
          <w:sz w:val="24"/>
          <w:szCs w:val="24"/>
        </w:rPr>
        <w:t>Пресс-служба ГУП «ЖКХ РС (Я)»</w:t>
      </w:r>
    </w:p>
    <w:p w:rsidR="00C86F82" w:rsidRPr="00CD525E" w:rsidRDefault="00C86F82" w:rsidP="00C86F8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25E">
        <w:rPr>
          <w:rFonts w:ascii="Times New Roman" w:hAnsi="Times New Roman" w:cs="Times New Roman"/>
          <w:i/>
          <w:sz w:val="24"/>
          <w:szCs w:val="24"/>
        </w:rPr>
        <w:t>Тел. (4112) 392-447</w:t>
      </w:r>
    </w:p>
    <w:p w:rsidR="00240D64" w:rsidRPr="00C86F82" w:rsidRDefault="00240D64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40D64" w:rsidRPr="00C86F82" w:rsidSect="00240D64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9E312" w16cex:dateUtc="2021-09-01T08:31:00Z"/>
  <w16cex:commentExtensible w16cex:durableId="24D9E37A" w16cex:dateUtc="2021-09-01T08:33:00Z"/>
  <w16cex:commentExtensible w16cex:durableId="24D9E48B" w16cex:dateUtc="2021-09-01T08:37:00Z"/>
  <w16cex:commentExtensible w16cex:durableId="24D9E676" w16cex:dateUtc="2021-09-01T08:39:00Z"/>
  <w16cex:commentExtensible w16cex:durableId="24D9E4E6" w16cex:dateUtc="2021-09-01T08:39:00Z"/>
  <w16cex:commentExtensible w16cex:durableId="24D9E81C" w16cex:dateUtc="2021-09-01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9263E" w16cid:durableId="24D9E312"/>
  <w16cid:commentId w16cid:paraId="5B9CE4E0" w16cid:durableId="24D9E37A"/>
  <w16cid:commentId w16cid:paraId="2D0542BD" w16cid:durableId="24D9E48B"/>
  <w16cid:commentId w16cid:paraId="3DDE0C93" w16cid:durableId="24D9E676"/>
  <w16cid:commentId w16cid:paraId="0A953AEC" w16cid:durableId="24D9E4E6"/>
  <w16cid:commentId w16cid:paraId="1A022935" w16cid:durableId="24D9E8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5A" w:rsidRDefault="005C055A" w:rsidP="00DC4B10">
      <w:pPr>
        <w:spacing w:after="0" w:line="240" w:lineRule="auto"/>
      </w:pPr>
      <w:r>
        <w:separator/>
      </w:r>
    </w:p>
  </w:endnote>
  <w:endnote w:type="continuationSeparator" w:id="0">
    <w:p w:rsidR="005C055A" w:rsidRDefault="005C055A" w:rsidP="00DC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5A" w:rsidRDefault="005C055A" w:rsidP="00DC4B10">
      <w:pPr>
        <w:spacing w:after="0" w:line="240" w:lineRule="auto"/>
      </w:pPr>
      <w:r>
        <w:separator/>
      </w:r>
    </w:p>
  </w:footnote>
  <w:footnote w:type="continuationSeparator" w:id="0">
    <w:p w:rsidR="005C055A" w:rsidRDefault="005C055A" w:rsidP="00DC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4" w:rsidRDefault="00240D64" w:rsidP="00240D64">
    <w:pPr>
      <w:pStyle w:val="a8"/>
      <w:jc w:val="center"/>
    </w:pPr>
    <w:r>
      <w:rPr>
        <w:noProof/>
        <w:lang w:eastAsia="ru-RU"/>
      </w:rPr>
      <w:drawing>
        <wp:inline distT="0" distB="0" distL="0" distR="0" wp14:anchorId="5E15B86E" wp14:editId="1B1A83A6">
          <wp:extent cx="1529080" cy="1150620"/>
          <wp:effectExtent l="0" t="0" r="0" b="0"/>
          <wp:docPr id="2" name="Рисунок 2" descr="https://jkhsakha.ru/assets/img/logo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jkhsakha.ru/assets/img/logo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E4"/>
    <w:multiLevelType w:val="hybridMultilevel"/>
    <w:tmpl w:val="02DADC96"/>
    <w:lvl w:ilvl="0" w:tplc="CA6AD2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66EFF"/>
    <w:multiLevelType w:val="hybridMultilevel"/>
    <w:tmpl w:val="0E4E2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C362E"/>
    <w:multiLevelType w:val="hybridMultilevel"/>
    <w:tmpl w:val="F80A4C8C"/>
    <w:lvl w:ilvl="0" w:tplc="2AD2351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E7376"/>
    <w:multiLevelType w:val="hybridMultilevel"/>
    <w:tmpl w:val="776E1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6"/>
    <w:rsid w:val="00000A02"/>
    <w:rsid w:val="0001210C"/>
    <w:rsid w:val="000159E3"/>
    <w:rsid w:val="00062000"/>
    <w:rsid w:val="00070B9B"/>
    <w:rsid w:val="000861D8"/>
    <w:rsid w:val="00093909"/>
    <w:rsid w:val="000A6908"/>
    <w:rsid w:val="000B3C48"/>
    <w:rsid w:val="000B4A42"/>
    <w:rsid w:val="000D0618"/>
    <w:rsid w:val="000D6D3F"/>
    <w:rsid w:val="00101DFA"/>
    <w:rsid w:val="001120C8"/>
    <w:rsid w:val="0012281C"/>
    <w:rsid w:val="001351DB"/>
    <w:rsid w:val="0014532F"/>
    <w:rsid w:val="00193AA4"/>
    <w:rsid w:val="001C07D4"/>
    <w:rsid w:val="001D04B0"/>
    <w:rsid w:val="001D1217"/>
    <w:rsid w:val="001D1249"/>
    <w:rsid w:val="001F20F6"/>
    <w:rsid w:val="001F3064"/>
    <w:rsid w:val="00200B44"/>
    <w:rsid w:val="002031DA"/>
    <w:rsid w:val="002057D4"/>
    <w:rsid w:val="00214520"/>
    <w:rsid w:val="002170E7"/>
    <w:rsid w:val="00217DC5"/>
    <w:rsid w:val="002406D0"/>
    <w:rsid w:val="00240D64"/>
    <w:rsid w:val="00251B90"/>
    <w:rsid w:val="00281A6B"/>
    <w:rsid w:val="002823A4"/>
    <w:rsid w:val="00283006"/>
    <w:rsid w:val="00284011"/>
    <w:rsid w:val="002C2217"/>
    <w:rsid w:val="002C57F6"/>
    <w:rsid w:val="00310E3D"/>
    <w:rsid w:val="00317688"/>
    <w:rsid w:val="003734D6"/>
    <w:rsid w:val="003837C9"/>
    <w:rsid w:val="003943F7"/>
    <w:rsid w:val="003A45FA"/>
    <w:rsid w:val="003A6888"/>
    <w:rsid w:val="003A7CE7"/>
    <w:rsid w:val="003B7708"/>
    <w:rsid w:val="003D0530"/>
    <w:rsid w:val="003E0B12"/>
    <w:rsid w:val="003F4659"/>
    <w:rsid w:val="00405F6A"/>
    <w:rsid w:val="00414DF9"/>
    <w:rsid w:val="00426C2F"/>
    <w:rsid w:val="00442C86"/>
    <w:rsid w:val="00463651"/>
    <w:rsid w:val="0046370C"/>
    <w:rsid w:val="00474335"/>
    <w:rsid w:val="00475B5F"/>
    <w:rsid w:val="004773D4"/>
    <w:rsid w:val="00484DAE"/>
    <w:rsid w:val="004875B0"/>
    <w:rsid w:val="004946E3"/>
    <w:rsid w:val="00494AB0"/>
    <w:rsid w:val="004A13C1"/>
    <w:rsid w:val="004B2EDE"/>
    <w:rsid w:val="004D4D27"/>
    <w:rsid w:val="004D67EA"/>
    <w:rsid w:val="004F10EA"/>
    <w:rsid w:val="00535AD8"/>
    <w:rsid w:val="005433EB"/>
    <w:rsid w:val="00551176"/>
    <w:rsid w:val="00565E9E"/>
    <w:rsid w:val="00573AF9"/>
    <w:rsid w:val="00582C4F"/>
    <w:rsid w:val="00583A50"/>
    <w:rsid w:val="00590C2B"/>
    <w:rsid w:val="005A0CA5"/>
    <w:rsid w:val="005A2752"/>
    <w:rsid w:val="005C055A"/>
    <w:rsid w:val="005D32BD"/>
    <w:rsid w:val="006070D9"/>
    <w:rsid w:val="0062280F"/>
    <w:rsid w:val="006234E9"/>
    <w:rsid w:val="00627FD2"/>
    <w:rsid w:val="00631D93"/>
    <w:rsid w:val="006543E5"/>
    <w:rsid w:val="00662ED0"/>
    <w:rsid w:val="00666778"/>
    <w:rsid w:val="00687539"/>
    <w:rsid w:val="006A61E2"/>
    <w:rsid w:val="006B3283"/>
    <w:rsid w:val="006C30FA"/>
    <w:rsid w:val="00711BB8"/>
    <w:rsid w:val="00712BB8"/>
    <w:rsid w:val="0077251A"/>
    <w:rsid w:val="00782926"/>
    <w:rsid w:val="007B768C"/>
    <w:rsid w:val="007B771D"/>
    <w:rsid w:val="007C323D"/>
    <w:rsid w:val="00831D44"/>
    <w:rsid w:val="00870078"/>
    <w:rsid w:val="00877FC3"/>
    <w:rsid w:val="00891FC7"/>
    <w:rsid w:val="0089403D"/>
    <w:rsid w:val="0089466B"/>
    <w:rsid w:val="008B67B8"/>
    <w:rsid w:val="008C5E37"/>
    <w:rsid w:val="008F1230"/>
    <w:rsid w:val="009122FF"/>
    <w:rsid w:val="00917BB1"/>
    <w:rsid w:val="0092630E"/>
    <w:rsid w:val="009A1C20"/>
    <w:rsid w:val="009A46FE"/>
    <w:rsid w:val="009A6FBD"/>
    <w:rsid w:val="009B2752"/>
    <w:rsid w:val="009B41C5"/>
    <w:rsid w:val="009B6651"/>
    <w:rsid w:val="009C268A"/>
    <w:rsid w:val="009C3486"/>
    <w:rsid w:val="009D0635"/>
    <w:rsid w:val="009D5B07"/>
    <w:rsid w:val="009F073C"/>
    <w:rsid w:val="009F40B7"/>
    <w:rsid w:val="00A0615E"/>
    <w:rsid w:val="00A2194C"/>
    <w:rsid w:val="00A307C2"/>
    <w:rsid w:val="00A3538F"/>
    <w:rsid w:val="00A379BA"/>
    <w:rsid w:val="00A55D71"/>
    <w:rsid w:val="00A56897"/>
    <w:rsid w:val="00A56C31"/>
    <w:rsid w:val="00A645C9"/>
    <w:rsid w:val="00A82820"/>
    <w:rsid w:val="00AA7593"/>
    <w:rsid w:val="00AC129F"/>
    <w:rsid w:val="00AC52DD"/>
    <w:rsid w:val="00AF187B"/>
    <w:rsid w:val="00B1661C"/>
    <w:rsid w:val="00B41D33"/>
    <w:rsid w:val="00B46AAB"/>
    <w:rsid w:val="00B57D6E"/>
    <w:rsid w:val="00B749AF"/>
    <w:rsid w:val="00B81A98"/>
    <w:rsid w:val="00B914CC"/>
    <w:rsid w:val="00BA522F"/>
    <w:rsid w:val="00BB3707"/>
    <w:rsid w:val="00BC6577"/>
    <w:rsid w:val="00BE1664"/>
    <w:rsid w:val="00BE51E0"/>
    <w:rsid w:val="00BF3F3B"/>
    <w:rsid w:val="00C132DC"/>
    <w:rsid w:val="00C20722"/>
    <w:rsid w:val="00C32F4A"/>
    <w:rsid w:val="00C34E61"/>
    <w:rsid w:val="00C40A10"/>
    <w:rsid w:val="00C554E9"/>
    <w:rsid w:val="00C740AF"/>
    <w:rsid w:val="00C86239"/>
    <w:rsid w:val="00C86F82"/>
    <w:rsid w:val="00C92227"/>
    <w:rsid w:val="00C93247"/>
    <w:rsid w:val="00CA3658"/>
    <w:rsid w:val="00CC438F"/>
    <w:rsid w:val="00CD1FC9"/>
    <w:rsid w:val="00CD4342"/>
    <w:rsid w:val="00CD7AF8"/>
    <w:rsid w:val="00CF382C"/>
    <w:rsid w:val="00D0159B"/>
    <w:rsid w:val="00D13176"/>
    <w:rsid w:val="00D26029"/>
    <w:rsid w:val="00D379E9"/>
    <w:rsid w:val="00D46229"/>
    <w:rsid w:val="00D651A5"/>
    <w:rsid w:val="00D81C62"/>
    <w:rsid w:val="00DA7083"/>
    <w:rsid w:val="00DB69E3"/>
    <w:rsid w:val="00DC37AF"/>
    <w:rsid w:val="00DC4B10"/>
    <w:rsid w:val="00DC51A7"/>
    <w:rsid w:val="00DF0D93"/>
    <w:rsid w:val="00DF2891"/>
    <w:rsid w:val="00DF54C1"/>
    <w:rsid w:val="00DF67DD"/>
    <w:rsid w:val="00E31F20"/>
    <w:rsid w:val="00E56042"/>
    <w:rsid w:val="00E71564"/>
    <w:rsid w:val="00E8212E"/>
    <w:rsid w:val="00E90161"/>
    <w:rsid w:val="00EA08A0"/>
    <w:rsid w:val="00EA6DB6"/>
    <w:rsid w:val="00EB24D7"/>
    <w:rsid w:val="00EB3414"/>
    <w:rsid w:val="00ED2C0D"/>
    <w:rsid w:val="00EE2D2D"/>
    <w:rsid w:val="00EF0D6D"/>
    <w:rsid w:val="00EF2518"/>
    <w:rsid w:val="00F01AE4"/>
    <w:rsid w:val="00F123E3"/>
    <w:rsid w:val="00F23DCE"/>
    <w:rsid w:val="00F42526"/>
    <w:rsid w:val="00F45770"/>
    <w:rsid w:val="00F70A93"/>
    <w:rsid w:val="00F83F39"/>
    <w:rsid w:val="00FB3672"/>
    <w:rsid w:val="00FC5B00"/>
    <w:rsid w:val="00FD483E"/>
    <w:rsid w:val="00FF0FFA"/>
    <w:rsid w:val="00FF2B25"/>
    <w:rsid w:val="00FF4231"/>
    <w:rsid w:val="00FF6FC0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66B"/>
    <w:pPr>
      <w:ind w:left="720"/>
      <w:contextualSpacing/>
    </w:pPr>
  </w:style>
  <w:style w:type="paragraph" w:customStyle="1" w:styleId="Normal1">
    <w:name w:val="Normal1"/>
    <w:rsid w:val="00B9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7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EA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B10"/>
  </w:style>
  <w:style w:type="paragraph" w:styleId="aa">
    <w:name w:val="footer"/>
    <w:basedOn w:val="a"/>
    <w:link w:val="ab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B10"/>
  </w:style>
  <w:style w:type="table" w:styleId="ac">
    <w:name w:val="Table Grid"/>
    <w:basedOn w:val="a1"/>
    <w:uiPriority w:val="59"/>
    <w:semiHidden/>
    <w:unhideWhenUsed/>
    <w:rsid w:val="00FF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943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3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3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3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3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66B"/>
    <w:pPr>
      <w:ind w:left="720"/>
      <w:contextualSpacing/>
    </w:pPr>
  </w:style>
  <w:style w:type="paragraph" w:customStyle="1" w:styleId="Normal1">
    <w:name w:val="Normal1"/>
    <w:rsid w:val="00B9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7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EA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B10"/>
  </w:style>
  <w:style w:type="paragraph" w:styleId="aa">
    <w:name w:val="footer"/>
    <w:basedOn w:val="a"/>
    <w:link w:val="ab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B10"/>
  </w:style>
  <w:style w:type="table" w:styleId="ac">
    <w:name w:val="Table Grid"/>
    <w:basedOn w:val="a1"/>
    <w:uiPriority w:val="59"/>
    <w:semiHidden/>
    <w:unhideWhenUsed/>
    <w:rsid w:val="00FF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943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3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3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3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9AD256-6D3A-4005-96A2-A9FAF319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</dc:creator>
  <cp:lastModifiedBy>Тихонов Андрей Степанович</cp:lastModifiedBy>
  <cp:revision>3</cp:revision>
  <cp:lastPrinted>2022-04-28T05:34:00Z</cp:lastPrinted>
  <dcterms:created xsi:type="dcterms:W3CDTF">2022-04-28T09:13:00Z</dcterms:created>
  <dcterms:modified xsi:type="dcterms:W3CDTF">2022-04-29T06:54:00Z</dcterms:modified>
</cp:coreProperties>
</file>