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A5" w:rsidRPr="00B57D6E" w:rsidRDefault="005A0CA5" w:rsidP="005A0CA5">
      <w:pPr>
        <w:widowControl w:val="0"/>
        <w:spacing w:after="360" w:line="360" w:lineRule="auto"/>
        <w:ind w:firstLine="709"/>
        <w:jc w:val="center"/>
        <w:rPr>
          <w:rStyle w:val="a3"/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9F073C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Комментарии к консолидированной финансовой отчетности </w:t>
      </w:r>
      <w:r w:rsidR="00711880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>Г</w:t>
      </w:r>
      <w:r w:rsidR="00240D64" w:rsidRPr="009F073C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осударственного </w:t>
      </w:r>
      <w:r w:rsidRPr="00B57D6E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унитарного предприятия «Жилищно-коммунальное хозяйство Республики Саха (Якутия)» по итогам </w:t>
      </w:r>
      <w:r w:rsidR="009F073C" w:rsidRPr="00B57D6E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>202</w:t>
      </w:r>
      <w:r w:rsidR="00F12C4E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>2</w:t>
      </w:r>
      <w:r w:rsidR="00E4463D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 </w:t>
      </w:r>
      <w:r w:rsidR="009F073C" w:rsidRPr="00B57D6E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>года</w:t>
      </w:r>
    </w:p>
    <w:p w:rsidR="005A0CA5" w:rsidRPr="004D67EA" w:rsidRDefault="005A0CA5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>ГУП «ЖКХ РС (Я)» оказывает услуги теплоснабжения, водоснабжения, водоотведения, эксплуатации жилищного фонда и обращения с твердыми коммунальными отходами. Предприятие занимает лидирующее положение на рынке коммунальных услуг республики по территориальному присутствию, количеству обслуживаемых источников теплогенерации, охвату теплоснабжением бюджетных учреждений.</w:t>
      </w:r>
    </w:p>
    <w:p w:rsidR="005A0CA5" w:rsidRPr="004D67EA" w:rsidRDefault="00711880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 xml:space="preserve">ГУП «ЖКХ РС </w:t>
      </w:r>
      <w:r>
        <w:rPr>
          <w:rFonts w:ascii="Times New Roman" w:hAnsi="Times New Roman" w:cs="Times New Roman"/>
          <w:i/>
          <w:sz w:val="24"/>
          <w:szCs w:val="24"/>
        </w:rPr>
        <w:t xml:space="preserve">(Я)» </w:t>
      </w:r>
      <w:r w:rsidR="005A0CA5" w:rsidRPr="004D67EA">
        <w:rPr>
          <w:rFonts w:ascii="Times New Roman" w:hAnsi="Times New Roman" w:cs="Times New Roman"/>
          <w:i/>
          <w:sz w:val="24"/>
          <w:szCs w:val="24"/>
        </w:rPr>
        <w:t>обеспечивает теплоснабжением 74% территории Республики Саха (Якутия), предоставляет жилищно-коммунальные услуги в 2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5A0CA5" w:rsidRPr="004D67EA">
        <w:rPr>
          <w:rFonts w:ascii="Times New Roman" w:hAnsi="Times New Roman" w:cs="Times New Roman"/>
          <w:i/>
          <w:sz w:val="24"/>
          <w:szCs w:val="24"/>
        </w:rPr>
        <w:t xml:space="preserve"> муниципальных районах (из них 12 арктических</w:t>
      </w:r>
      <w:r w:rsidR="00782926" w:rsidRPr="004D67EA">
        <w:rPr>
          <w:rFonts w:ascii="Times New Roman" w:hAnsi="Times New Roman" w:cs="Times New Roman"/>
          <w:i/>
          <w:sz w:val="24"/>
          <w:szCs w:val="24"/>
        </w:rPr>
        <w:t xml:space="preserve">), а также в ГО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782926" w:rsidRPr="004D67EA">
        <w:rPr>
          <w:rFonts w:ascii="Times New Roman" w:hAnsi="Times New Roman" w:cs="Times New Roman"/>
          <w:i/>
          <w:sz w:val="24"/>
          <w:szCs w:val="24"/>
        </w:rPr>
        <w:t>Город Якутск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782926" w:rsidRPr="004D67EA">
        <w:rPr>
          <w:rFonts w:ascii="Times New Roman" w:hAnsi="Times New Roman" w:cs="Times New Roman"/>
          <w:i/>
          <w:sz w:val="24"/>
          <w:szCs w:val="24"/>
        </w:rPr>
        <w:t>.</w:t>
      </w:r>
    </w:p>
    <w:p w:rsidR="005A0CA5" w:rsidRDefault="005A0CA5" w:rsidP="00C32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>Предприятие обслуживает 22 процента населения республики, которое проживает в отапливаемом жилищном фонде, в том числе: теплоснабжение – 130,4 тыс. человек, горячее водоснабжение – 96,1 тыс. человек, холодное водоснабжение - 41,9 тыс. человек, водоотведение – 14,5 тыс. человек.</w:t>
      </w:r>
    </w:p>
    <w:p w:rsidR="006B3283" w:rsidRDefault="006B3283" w:rsidP="00C32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3283" w:rsidRPr="006B3283" w:rsidRDefault="006B3283" w:rsidP="00C32F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283">
        <w:rPr>
          <w:rFonts w:ascii="Times New Roman" w:hAnsi="Times New Roman" w:cs="Times New Roman"/>
          <w:b/>
          <w:i/>
          <w:sz w:val="24"/>
          <w:szCs w:val="24"/>
        </w:rPr>
        <w:t xml:space="preserve">Финансовые результаты деятельности </w:t>
      </w:r>
    </w:p>
    <w:p w:rsidR="00F00D3B" w:rsidRDefault="004F10EA" w:rsidP="008C7B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По результатам обзорной проверки промежуточной консолидированной финансовой отчетности (далее – МСФО)</w:t>
      </w:r>
      <w:r w:rsidRPr="004D67EA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>о итогам 20</w:t>
      </w:r>
      <w:r w:rsidR="009F073C" w:rsidRPr="004D67EA">
        <w:rPr>
          <w:rFonts w:ascii="Times New Roman" w:hAnsi="Times New Roman" w:cs="Times New Roman"/>
          <w:i/>
          <w:sz w:val="24"/>
          <w:szCs w:val="24"/>
        </w:rPr>
        <w:t>2</w:t>
      </w:r>
      <w:r w:rsidR="00F12C4E">
        <w:rPr>
          <w:rFonts w:ascii="Times New Roman" w:hAnsi="Times New Roman" w:cs="Times New Roman"/>
          <w:i/>
          <w:sz w:val="24"/>
          <w:szCs w:val="24"/>
        </w:rPr>
        <w:t>2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 xml:space="preserve"> года выручка составила </w:t>
      </w:r>
      <w:r w:rsidR="0019274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F382C">
        <w:rPr>
          <w:rFonts w:ascii="Times New Roman" w:hAnsi="Times New Roman" w:cs="Times New Roman"/>
          <w:i/>
          <w:sz w:val="24"/>
          <w:szCs w:val="24"/>
        </w:rPr>
        <w:t>23</w:t>
      </w:r>
      <w:r w:rsidR="004B2EDE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2C4E">
        <w:rPr>
          <w:rFonts w:ascii="Times New Roman" w:hAnsi="Times New Roman" w:cs="Times New Roman"/>
          <w:i/>
          <w:sz w:val="24"/>
          <w:szCs w:val="24"/>
        </w:rPr>
        <w:t>955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r w:rsidR="00CF382C">
        <w:rPr>
          <w:rFonts w:ascii="Times New Roman" w:hAnsi="Times New Roman" w:cs="Times New Roman"/>
          <w:i/>
          <w:sz w:val="24"/>
          <w:szCs w:val="24"/>
        </w:rPr>
        <w:t>.</w:t>
      </w:r>
      <w:r w:rsidR="0019274C">
        <w:rPr>
          <w:rFonts w:ascii="Times New Roman" w:hAnsi="Times New Roman" w:cs="Times New Roman"/>
          <w:i/>
          <w:sz w:val="24"/>
          <w:szCs w:val="24"/>
        </w:rPr>
        <w:t xml:space="preserve"> рублей, что выше показателя  прошлого года  на 1 376 млн. рублей, или на 6,1%.</w:t>
      </w:r>
    </w:p>
    <w:p w:rsidR="00F00D3B" w:rsidRPr="00F00D3B" w:rsidRDefault="0019274C" w:rsidP="008C7B0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Основным фактором роста выручки является повышение </w:t>
      </w:r>
      <w:r w:rsidR="00F00D3B" w:rsidRPr="00F00D3B">
        <w:rPr>
          <w:rFonts w:ascii="Times New Roman" w:hAnsi="Times New Roman" w:cs="Times New Roman"/>
          <w:i/>
          <w:sz w:val="24"/>
          <w:szCs w:val="24"/>
        </w:rPr>
        <w:t>экономически обоснованных тарифов</w:t>
      </w:r>
      <w:r w:rsidR="008C7B0D">
        <w:rPr>
          <w:rFonts w:ascii="Times New Roman" w:hAnsi="Times New Roman" w:cs="Times New Roman"/>
          <w:i/>
          <w:sz w:val="24"/>
          <w:szCs w:val="24"/>
        </w:rPr>
        <w:t xml:space="preserve"> и увеличение объема производства продукции</w:t>
      </w:r>
      <w:r w:rsidR="00F00D3B" w:rsidRPr="00F00D3B">
        <w:rPr>
          <w:rFonts w:ascii="Times New Roman" w:hAnsi="Times New Roman" w:cs="Times New Roman"/>
          <w:i/>
          <w:sz w:val="24"/>
          <w:szCs w:val="24"/>
        </w:rPr>
        <w:t>:</w:t>
      </w:r>
    </w:p>
    <w:p w:rsidR="00F00D3B" w:rsidRPr="00F00D3B" w:rsidRDefault="0019274C" w:rsidP="00F00D3B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</w:t>
      </w:r>
      <w:r>
        <w:rPr>
          <w:rFonts w:ascii="Times New Roman" w:hAnsi="Times New Roman" w:cs="Times New Roman"/>
          <w:i/>
          <w:sz w:val="24"/>
          <w:szCs w:val="24"/>
        </w:rPr>
        <w:tab/>
        <w:t>на тепловую энергию с 01.07.</w:t>
      </w:r>
      <w:r w:rsidR="00F00D3B" w:rsidRPr="00F00D3B">
        <w:rPr>
          <w:rFonts w:ascii="Times New Roman" w:hAnsi="Times New Roman" w:cs="Times New Roman"/>
          <w:i/>
          <w:sz w:val="24"/>
          <w:szCs w:val="24"/>
        </w:rPr>
        <w:t>2022 года на 9,37%  и с 01.12.2022 год на 13,85%;</w:t>
      </w:r>
    </w:p>
    <w:p w:rsidR="00F00D3B" w:rsidRPr="00F00D3B" w:rsidRDefault="00F00D3B" w:rsidP="00F00D3B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D3B">
        <w:rPr>
          <w:rFonts w:ascii="Times New Roman" w:hAnsi="Times New Roman" w:cs="Times New Roman"/>
          <w:i/>
          <w:sz w:val="24"/>
          <w:szCs w:val="24"/>
        </w:rPr>
        <w:t>•</w:t>
      </w:r>
      <w:r w:rsidRPr="00F00D3B">
        <w:rPr>
          <w:rFonts w:ascii="Times New Roman" w:hAnsi="Times New Roman" w:cs="Times New Roman"/>
          <w:i/>
          <w:sz w:val="24"/>
          <w:szCs w:val="24"/>
        </w:rPr>
        <w:tab/>
        <w:t>на водоснабжение с 01.07.2022 года на 6,03%  и с 01.12.2022 года на 13,13%;</w:t>
      </w:r>
    </w:p>
    <w:p w:rsidR="00070B9B" w:rsidRDefault="00F00D3B" w:rsidP="00F00D3B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D3B">
        <w:rPr>
          <w:rFonts w:ascii="Times New Roman" w:hAnsi="Times New Roman" w:cs="Times New Roman"/>
          <w:i/>
          <w:sz w:val="24"/>
          <w:szCs w:val="24"/>
        </w:rPr>
        <w:t>•</w:t>
      </w:r>
      <w:r w:rsidRPr="00F00D3B">
        <w:rPr>
          <w:rFonts w:ascii="Times New Roman" w:hAnsi="Times New Roman" w:cs="Times New Roman"/>
          <w:i/>
          <w:sz w:val="24"/>
          <w:szCs w:val="24"/>
        </w:rPr>
        <w:tab/>
        <w:t>на водоотведение с 01.07.2022 года на 8,58 %  и с 01.12.2022 года на 13,28%.</w:t>
      </w:r>
    </w:p>
    <w:p w:rsidR="00217DC5" w:rsidRDefault="00C40A10" w:rsidP="00217DC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 xml:space="preserve">Себестоимость в соответствии с отчетностью сложилась в размере </w:t>
      </w:r>
      <w:r w:rsidR="00DF2DBA">
        <w:rPr>
          <w:rFonts w:ascii="Times New Roman" w:hAnsi="Times New Roman" w:cs="Times New Roman"/>
          <w:i/>
          <w:sz w:val="24"/>
          <w:szCs w:val="24"/>
        </w:rPr>
        <w:t>23</w:t>
      </w:r>
      <w:r w:rsidR="00FE491E">
        <w:rPr>
          <w:rFonts w:ascii="Times New Roman" w:hAnsi="Times New Roman" w:cs="Times New Roman"/>
          <w:i/>
          <w:sz w:val="24"/>
          <w:szCs w:val="24"/>
        </w:rPr>
        <w:t> </w:t>
      </w:r>
      <w:r w:rsidR="00DF2DBA">
        <w:rPr>
          <w:rFonts w:ascii="Times New Roman" w:hAnsi="Times New Roman" w:cs="Times New Roman"/>
          <w:i/>
          <w:sz w:val="24"/>
          <w:szCs w:val="24"/>
        </w:rPr>
        <w:t>8</w:t>
      </w:r>
      <w:r w:rsidR="00FE491E">
        <w:rPr>
          <w:rFonts w:ascii="Times New Roman" w:hAnsi="Times New Roman" w:cs="Times New Roman"/>
          <w:i/>
          <w:sz w:val="24"/>
          <w:szCs w:val="24"/>
        </w:rPr>
        <w:t xml:space="preserve">87 </w:t>
      </w:r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r w:rsidR="009122FF">
        <w:rPr>
          <w:rFonts w:ascii="Times New Roman" w:hAnsi="Times New Roman" w:cs="Times New Roman"/>
          <w:i/>
          <w:sz w:val="24"/>
          <w:szCs w:val="24"/>
        </w:rPr>
        <w:t>.</w:t>
      </w:r>
      <w:r w:rsidRPr="004D67EA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C554E9" w:rsidRPr="004D67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771D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при этом по</w:t>
      </w:r>
      <w:r w:rsidR="00D46229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сравнению с </w:t>
      </w:r>
      <w:r w:rsidR="007B771D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прошлым</w:t>
      </w:r>
      <w:r w:rsidR="00D46229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годом </w:t>
      </w:r>
      <w:r w:rsidR="007B771D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зафиксировано увеличение</w:t>
      </w:r>
      <w:r w:rsidR="00D46229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на </w:t>
      </w:r>
      <w:r w:rsidR="00FE491E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2 </w:t>
      </w:r>
      <w:r w:rsidR="00FE491E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lastRenderedPageBreak/>
        <w:t>368</w:t>
      </w:r>
      <w:r w:rsidR="00F70A93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r w:rsidR="008B67B8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млн</w:t>
      </w:r>
      <w:r w:rsidR="009122FF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.</w:t>
      </w:r>
      <w:r w:rsidR="00F70A93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рублей</w:t>
      </w:r>
      <w:r w:rsidR="0019274C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, или на 11%</w:t>
      </w:r>
      <w:r w:rsidR="00F70A93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. Основными причинами </w:t>
      </w:r>
      <w:r w:rsidR="008C7B0D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увеличения</w:t>
      </w:r>
      <w:r w:rsidR="00F70A93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себестоимости являются следующие факторы:</w:t>
      </w:r>
    </w:p>
    <w:p w:rsidR="004317C6" w:rsidRDefault="00DF2891" w:rsidP="004317C6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30018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Рост </w:t>
      </w:r>
      <w:r w:rsidR="008C7B0D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за</w:t>
      </w:r>
      <w:r w:rsidR="00E4463D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трат</w:t>
      </w:r>
      <w:r w:rsidR="008C7B0D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на </w:t>
      </w:r>
      <w:r w:rsidR="0019274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топливно-энергетически</w:t>
      </w:r>
      <w:r w:rsidR="00E4463D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е</w:t>
      </w:r>
      <w:r w:rsidR="0019274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ресурс</w:t>
      </w:r>
      <w:r w:rsidR="00E4463D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ы</w:t>
      </w:r>
      <w:r w:rsidR="0019274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A30018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на </w:t>
      </w:r>
      <w:r w:rsidR="0019274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659 млн. рублей, или на </w:t>
      </w:r>
      <w:r w:rsidR="00524C84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7,</w:t>
      </w:r>
      <w:r w:rsidR="0019274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1</w:t>
      </w:r>
      <w:r w:rsidRPr="00A30018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%, </w:t>
      </w:r>
      <w:r w:rsidR="0008591D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объясняется </w:t>
      </w:r>
      <w:r w:rsidR="0008591D" w:rsidRPr="0008591D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неконтролируемы</w:t>
      </w:r>
      <w:r w:rsidR="0008591D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м</w:t>
      </w:r>
      <w:r w:rsidR="0008591D" w:rsidRPr="0008591D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 xml:space="preserve"> рост</w:t>
      </w:r>
      <w:r w:rsidR="0008591D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ом</w:t>
      </w:r>
      <w:r w:rsidR="0008591D" w:rsidRPr="0008591D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 xml:space="preserve"> цен поставщиков и перевозчиков топливно-энергетических ресурсов</w:t>
      </w:r>
      <w:r w:rsidR="0008591D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.</w:t>
      </w:r>
    </w:p>
    <w:p w:rsidR="006C2C6C" w:rsidRDefault="008C7B0D" w:rsidP="006C2C6C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Увеличение а</w:t>
      </w:r>
      <w:r w:rsidR="004317C6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мортизационн</w:t>
      </w:r>
      <w:r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ых</w:t>
      </w:r>
      <w:r w:rsidR="004317C6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отчислени</w:t>
      </w:r>
      <w:r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="0008591D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на 839 млн. рублей, или на </w:t>
      </w:r>
      <w:r w:rsidR="00041F9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33,9</w:t>
      </w:r>
      <w:r w:rsidR="0008591D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%</w:t>
      </w:r>
      <w:r w:rsidR="00A312A3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из-за</w:t>
      </w:r>
      <w:r w:rsidR="004317C6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4317C6" w:rsidRPr="004317C6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изменени</w:t>
      </w:r>
      <w:r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="0008591D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4317C6" w:rsidRPr="004317C6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в ФСБУ 6 «Учет основных средств»</w:t>
      </w:r>
      <w:r w:rsidR="0008591D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4317C6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согласно которому</w:t>
      </w:r>
      <w:r w:rsidR="004317C6" w:rsidRPr="004317C6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08591D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были пересмотрены </w:t>
      </w:r>
      <w:r w:rsidR="004317C6" w:rsidRPr="004317C6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срок</w:t>
      </w:r>
      <w:r w:rsidR="0008591D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и </w:t>
      </w:r>
      <w:r w:rsidR="004317C6" w:rsidRPr="004317C6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полезного использования основных средств, корректировк</w:t>
      </w:r>
      <w:r w:rsidR="0008591D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="004317C6" w:rsidRPr="004317C6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остаточной стоимости по законсервированным объектам, а также по эксплуатируемым объектам с нулевой стоимостью</w:t>
      </w:r>
      <w:r w:rsidR="0008591D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041F9C" w:rsidRPr="00041F9C" w:rsidRDefault="008C7B0D" w:rsidP="00041F9C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Рост затрат на </w:t>
      </w:r>
      <w:r w:rsidR="00041F9C" w:rsidRPr="00041F9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э</w:t>
      </w:r>
      <w:r w:rsidR="006C2C6C" w:rsidRPr="00041F9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лектроэнерги</w:t>
      </w:r>
      <w:r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ю</w:t>
      </w:r>
      <w:r w:rsidR="006C2C6C" w:rsidRPr="00041F9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041F9C" w:rsidRPr="00041F9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на 263 млн. рублей, или на 25,3%</w:t>
      </w:r>
      <w:r w:rsidR="00F73F59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вследствие </w:t>
      </w:r>
      <w:r w:rsidR="00F73F59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опережающего </w:t>
      </w:r>
      <w:r w:rsidR="00041F9C" w:rsidRPr="00041F9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темп</w:t>
      </w:r>
      <w:r w:rsidR="00F73F59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="00041F9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роста т</w:t>
      </w:r>
      <w:r w:rsidR="00041F9C" w:rsidRPr="00041F9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ариф</w:t>
      </w:r>
      <w:r w:rsidR="00041F9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о</w:t>
      </w:r>
      <w:r w:rsidR="00F73F59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в.</w:t>
      </w:r>
      <w:r w:rsidR="00041F9C" w:rsidRPr="00041F9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Но</w:t>
      </w:r>
      <w:r w:rsidR="006C2C6C" w:rsidRPr="00041F9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предприятие активно </w:t>
      </w:r>
      <w:r w:rsidR="00041F9C" w:rsidRPr="00041F9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реализует мероприятия по энергосбережению</w:t>
      </w:r>
      <w:r w:rsidR="00C93E8A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041F9C" w:rsidRPr="00041F9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в целях снижения </w:t>
      </w:r>
      <w:r w:rsidR="00F73F59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>объема</w:t>
      </w:r>
      <w:r w:rsidR="00041F9C" w:rsidRPr="00041F9C"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  <w:t xml:space="preserve"> потребления электричества. </w:t>
      </w:r>
    </w:p>
    <w:p w:rsidR="006234E9" w:rsidRPr="00C93E8A" w:rsidRDefault="00217DC5" w:rsidP="00DF289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50BA9" w:rsidRPr="00C93E8A">
        <w:rPr>
          <w:rFonts w:ascii="Times New Roman" w:hAnsi="Times New Roman" w:cs="Times New Roman"/>
          <w:i/>
          <w:sz w:val="24"/>
          <w:szCs w:val="24"/>
        </w:rPr>
        <w:t>4</w:t>
      </w:r>
      <w:r w:rsidRPr="00C93E8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93E8A">
        <w:rPr>
          <w:rFonts w:ascii="Times New Roman" w:hAnsi="Times New Roman" w:cs="Times New Roman"/>
          <w:i/>
          <w:sz w:val="24"/>
          <w:szCs w:val="24"/>
        </w:rPr>
        <w:t>З</w:t>
      </w:r>
      <w:r w:rsidR="00EA08A0" w:rsidRPr="00C93E8A">
        <w:rPr>
          <w:rFonts w:ascii="Times New Roman" w:hAnsi="Times New Roman" w:cs="Times New Roman"/>
          <w:i/>
          <w:sz w:val="24"/>
          <w:szCs w:val="24"/>
        </w:rPr>
        <w:t xml:space="preserve">атраты на вознаграждение работников составили </w:t>
      </w:r>
      <w:r w:rsidR="00695C7B" w:rsidRPr="00C93E8A">
        <w:rPr>
          <w:rFonts w:ascii="Times New Roman" w:hAnsi="Times New Roman" w:cs="Times New Roman"/>
          <w:i/>
          <w:sz w:val="24"/>
          <w:szCs w:val="24"/>
        </w:rPr>
        <w:t>6 691</w:t>
      </w:r>
      <w:r w:rsidR="00EA08A0" w:rsidRPr="00C93E8A">
        <w:rPr>
          <w:rFonts w:ascii="Times New Roman" w:hAnsi="Times New Roman" w:cs="Times New Roman"/>
          <w:i/>
          <w:sz w:val="24"/>
          <w:szCs w:val="24"/>
        </w:rPr>
        <w:t xml:space="preserve"> млн. рублей, что выше </w:t>
      </w:r>
      <w:r w:rsidR="00CE28EB">
        <w:rPr>
          <w:rFonts w:ascii="Times New Roman" w:hAnsi="Times New Roman" w:cs="Times New Roman"/>
          <w:i/>
          <w:sz w:val="24"/>
          <w:szCs w:val="24"/>
        </w:rPr>
        <w:t>показателя 2021</w:t>
      </w:r>
      <w:r w:rsidR="00695C7B" w:rsidRPr="00C93E8A">
        <w:rPr>
          <w:rFonts w:ascii="Times New Roman" w:hAnsi="Times New Roman" w:cs="Times New Roman"/>
          <w:i/>
          <w:sz w:val="24"/>
          <w:szCs w:val="24"/>
        </w:rPr>
        <w:t xml:space="preserve"> года на </w:t>
      </w:r>
      <w:r w:rsidR="00C93E8A">
        <w:rPr>
          <w:rFonts w:ascii="Times New Roman" w:hAnsi="Times New Roman" w:cs="Times New Roman"/>
          <w:i/>
          <w:sz w:val="24"/>
          <w:szCs w:val="24"/>
        </w:rPr>
        <w:t>433</w:t>
      </w:r>
      <w:r w:rsidR="00EA08A0" w:rsidRPr="00C93E8A">
        <w:rPr>
          <w:rFonts w:ascii="Times New Roman" w:hAnsi="Times New Roman" w:cs="Times New Roman"/>
          <w:i/>
          <w:sz w:val="24"/>
          <w:szCs w:val="24"/>
        </w:rPr>
        <w:t xml:space="preserve"> млн. руб.</w:t>
      </w:r>
      <w:r w:rsidR="00C93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3E8A" w:rsidRPr="00C93E8A">
        <w:rPr>
          <w:rFonts w:ascii="Times New Roman" w:hAnsi="Times New Roman" w:cs="Times New Roman"/>
          <w:i/>
          <w:sz w:val="24"/>
          <w:szCs w:val="24"/>
        </w:rPr>
        <w:tab/>
      </w:r>
      <w:r w:rsidR="00CE28EB" w:rsidRPr="00C93E8A">
        <w:rPr>
          <w:rFonts w:ascii="Times New Roman" w:hAnsi="Times New Roman" w:cs="Times New Roman"/>
          <w:i/>
          <w:sz w:val="24"/>
          <w:szCs w:val="24"/>
        </w:rPr>
        <w:t>С 1 октября 2022 года заработ</w:t>
      </w:r>
      <w:r w:rsidR="00CE28EB">
        <w:rPr>
          <w:rFonts w:ascii="Times New Roman" w:hAnsi="Times New Roman" w:cs="Times New Roman"/>
          <w:i/>
          <w:sz w:val="24"/>
          <w:szCs w:val="24"/>
        </w:rPr>
        <w:t xml:space="preserve">ная плата </w:t>
      </w:r>
      <w:r w:rsidR="00CE28EB" w:rsidRPr="00C93E8A">
        <w:rPr>
          <w:rFonts w:ascii="Times New Roman" w:hAnsi="Times New Roman" w:cs="Times New Roman"/>
          <w:i/>
          <w:sz w:val="24"/>
          <w:szCs w:val="24"/>
        </w:rPr>
        <w:t>доведен</w:t>
      </w:r>
      <w:r w:rsidR="00CE28EB">
        <w:rPr>
          <w:rFonts w:ascii="Times New Roman" w:hAnsi="Times New Roman" w:cs="Times New Roman"/>
          <w:i/>
          <w:sz w:val="24"/>
          <w:szCs w:val="24"/>
        </w:rPr>
        <w:t>а</w:t>
      </w:r>
      <w:r w:rsidR="00CE28EB" w:rsidRPr="00C93E8A">
        <w:rPr>
          <w:rFonts w:ascii="Times New Roman" w:hAnsi="Times New Roman" w:cs="Times New Roman"/>
          <w:i/>
          <w:sz w:val="24"/>
          <w:szCs w:val="24"/>
        </w:rPr>
        <w:t xml:space="preserve"> до требований отраслевого тарифног</w:t>
      </w:r>
      <w:r w:rsidR="00CE28EB">
        <w:rPr>
          <w:rFonts w:ascii="Times New Roman" w:hAnsi="Times New Roman" w:cs="Times New Roman"/>
          <w:i/>
          <w:sz w:val="24"/>
          <w:szCs w:val="24"/>
        </w:rPr>
        <w:t>о соглашения и увеличилась на 15,5% . При этом следует отметить, что индексация заработной платы работников предприятия в последний раз была проведена в сентябре 2019 года</w:t>
      </w:r>
      <w:proofErr w:type="gramStart"/>
      <w:r w:rsidR="00CE28E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E28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4E9" w:rsidRPr="00C93E8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234E9" w:rsidRPr="00C93E8A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6234E9" w:rsidRPr="00C93E8A">
        <w:rPr>
          <w:rFonts w:ascii="Times New Roman" w:hAnsi="Times New Roman" w:cs="Times New Roman"/>
          <w:i/>
          <w:sz w:val="24"/>
          <w:szCs w:val="24"/>
        </w:rPr>
        <w:t>аблица №1)</w:t>
      </w:r>
      <w:r w:rsidR="00EA08A0" w:rsidRPr="00C93E8A">
        <w:rPr>
          <w:rFonts w:ascii="Times New Roman" w:hAnsi="Times New Roman" w:cs="Times New Roman"/>
          <w:i/>
          <w:sz w:val="24"/>
          <w:szCs w:val="24"/>
        </w:rPr>
        <w:t>.</w:t>
      </w:r>
    </w:p>
    <w:p w:rsidR="006234E9" w:rsidRPr="00C93E8A" w:rsidRDefault="006234E9" w:rsidP="006234E9">
      <w:pPr>
        <w:pStyle w:val="a5"/>
        <w:tabs>
          <w:tab w:val="left" w:pos="567"/>
        </w:tabs>
        <w:spacing w:after="0"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3E8A">
        <w:rPr>
          <w:rFonts w:ascii="Times New Roman" w:hAnsi="Times New Roman" w:cs="Times New Roman"/>
          <w:i/>
          <w:szCs w:val="24"/>
        </w:rPr>
        <w:t>Таблица №1. Воз</w:t>
      </w:r>
      <w:r w:rsidR="009B6651" w:rsidRPr="00C93E8A">
        <w:rPr>
          <w:rFonts w:ascii="Times New Roman" w:hAnsi="Times New Roman" w:cs="Times New Roman"/>
          <w:i/>
          <w:szCs w:val="24"/>
        </w:rPr>
        <w:t>награждение работников 202</w:t>
      </w:r>
      <w:r w:rsidR="00695C7B" w:rsidRPr="00C93E8A">
        <w:rPr>
          <w:rFonts w:ascii="Times New Roman" w:hAnsi="Times New Roman" w:cs="Times New Roman"/>
          <w:i/>
          <w:szCs w:val="24"/>
        </w:rPr>
        <w:t>1-2022</w:t>
      </w:r>
      <w:r w:rsidR="009B6651" w:rsidRPr="00C93E8A">
        <w:rPr>
          <w:rFonts w:ascii="Times New Roman" w:hAnsi="Times New Roman" w:cs="Times New Roman"/>
          <w:i/>
          <w:szCs w:val="24"/>
        </w:rPr>
        <w:t xml:space="preserve"> гг.</w:t>
      </w:r>
      <w:r w:rsidR="00582C4F" w:rsidRPr="00C93E8A">
        <w:rPr>
          <w:rFonts w:ascii="Times New Roman" w:hAnsi="Times New Roman" w:cs="Times New Roman"/>
          <w:i/>
          <w:szCs w:val="24"/>
        </w:rPr>
        <w:t xml:space="preserve"> (</w:t>
      </w:r>
      <w:proofErr w:type="gramStart"/>
      <w:r w:rsidR="008B67B8" w:rsidRPr="00C93E8A">
        <w:rPr>
          <w:rFonts w:ascii="Times New Roman" w:hAnsi="Times New Roman" w:cs="Times New Roman"/>
          <w:i/>
          <w:szCs w:val="24"/>
        </w:rPr>
        <w:t>млн</w:t>
      </w:r>
      <w:proofErr w:type="gramEnd"/>
      <w:r w:rsidR="00582C4F" w:rsidRPr="00C93E8A">
        <w:rPr>
          <w:rFonts w:ascii="Times New Roman" w:hAnsi="Times New Roman" w:cs="Times New Roman"/>
          <w:i/>
          <w:szCs w:val="24"/>
        </w:rPr>
        <w:t xml:space="preserve">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62"/>
        <w:gridCol w:w="1293"/>
        <w:gridCol w:w="1293"/>
        <w:gridCol w:w="1294"/>
      </w:tblGrid>
      <w:tr w:rsidR="003943F7" w:rsidRPr="00C93E8A" w:rsidTr="006234E9">
        <w:trPr>
          <w:trHeight w:val="465"/>
        </w:trPr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C62" w:rsidRPr="00C93E8A" w:rsidRDefault="00D81C62" w:rsidP="00D8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3E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Вознаграждение работникам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C62" w:rsidRPr="00C93E8A" w:rsidRDefault="00D81C62" w:rsidP="007C1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3E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7C1F55" w:rsidRPr="00C93E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C62" w:rsidRPr="00C93E8A" w:rsidRDefault="007C1F55" w:rsidP="00D8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3E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C62" w:rsidRPr="00C93E8A" w:rsidRDefault="006B3283" w:rsidP="006B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3E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Изм.</w:t>
            </w:r>
          </w:p>
        </w:tc>
      </w:tr>
      <w:tr w:rsidR="003943F7" w:rsidRPr="00C93E8A" w:rsidTr="006234E9">
        <w:trPr>
          <w:trHeight w:val="300"/>
        </w:trPr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62" w:rsidRPr="00C93E8A" w:rsidRDefault="00D81C62" w:rsidP="00D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62" w:rsidRPr="00C93E8A" w:rsidRDefault="00D81C62" w:rsidP="00D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62" w:rsidRPr="00C93E8A" w:rsidRDefault="00D81C62" w:rsidP="00D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62" w:rsidRPr="00C93E8A" w:rsidRDefault="00D81C62" w:rsidP="00D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3F7" w:rsidRPr="00C93E8A" w:rsidTr="006234E9">
        <w:trPr>
          <w:trHeight w:val="300"/>
        </w:trPr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C93E8A" w:rsidRDefault="003943F7" w:rsidP="00F45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Вознаграждение работникам (в составе себестоимости) 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C93E8A" w:rsidRDefault="001C4033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3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6 691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C93E8A" w:rsidRDefault="00CE28EB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6 258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C93E8A" w:rsidRDefault="00CE28EB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</w:t>
            </w:r>
          </w:p>
        </w:tc>
      </w:tr>
      <w:tr w:rsidR="003943F7" w:rsidRPr="00C93E8A" w:rsidTr="006234E9">
        <w:trPr>
          <w:trHeight w:val="300"/>
        </w:trPr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C93E8A" w:rsidRDefault="003943F7" w:rsidP="00EA08A0">
            <w:pPr>
              <w:spacing w:after="0" w:line="240" w:lineRule="auto"/>
              <w:ind w:right="-57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3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Вознаграждение работникам (в составе а</w:t>
            </w:r>
            <w:r w:rsidR="00D81C62" w:rsidRPr="00C93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дминистративны</w:t>
            </w:r>
            <w:r w:rsidRPr="00C93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r w:rsidR="00F45770" w:rsidRPr="00C93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81C62" w:rsidRPr="00C93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</w:t>
            </w:r>
            <w:r w:rsidR="00EA08A0" w:rsidRPr="00C93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ходов</w:t>
            </w:r>
            <w:proofErr w:type="gramStart"/>
            <w:r w:rsidR="00EA08A0" w:rsidRPr="00C93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="00D81C62" w:rsidRPr="00C93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gramEnd"/>
            <w:r w:rsidR="00D81C62" w:rsidRPr="00C93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</w:t>
            </w:r>
            <w:r w:rsidRPr="00C93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ов)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C93E8A" w:rsidRDefault="007F71F8" w:rsidP="001C4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C93E8A" w:rsidRDefault="007F71F8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C93E8A" w:rsidRDefault="007F71F8" w:rsidP="001C4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</w:tr>
      <w:tr w:rsidR="003943F7" w:rsidRPr="00C93E8A" w:rsidTr="006234E9">
        <w:trPr>
          <w:trHeight w:val="315"/>
        </w:trPr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1C62" w:rsidRPr="00C93E8A" w:rsidRDefault="00D81C62" w:rsidP="00D81C6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C62" w:rsidRPr="00C93E8A" w:rsidRDefault="00D81C62" w:rsidP="00D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C62" w:rsidRPr="00C93E8A" w:rsidRDefault="00D81C62" w:rsidP="00D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C62" w:rsidRPr="00C93E8A" w:rsidRDefault="00D81C62" w:rsidP="00D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3F7" w:rsidRPr="00D81C62" w:rsidTr="003D0530">
        <w:trPr>
          <w:trHeight w:val="315"/>
        </w:trPr>
        <w:tc>
          <w:tcPr>
            <w:tcW w:w="1769" w:type="pct"/>
            <w:tcBorders>
              <w:top w:val="nil"/>
              <w:left w:val="nil"/>
              <w:bottom w:val="thickThinLarge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C93E8A" w:rsidRDefault="00D81C62" w:rsidP="00D8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3E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thickThinLarge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C93E8A" w:rsidRDefault="007C1F55" w:rsidP="007F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3E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 </w:t>
            </w:r>
            <w:r w:rsidR="007F71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thickThinLarge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C93E8A" w:rsidRDefault="007C1F55" w:rsidP="007F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3E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 </w:t>
            </w:r>
            <w:r w:rsidR="007F71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thickThinLarge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7F71F8" w:rsidP="007C1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451</w:t>
            </w:r>
          </w:p>
        </w:tc>
      </w:tr>
    </w:tbl>
    <w:p w:rsidR="00D81C62" w:rsidRDefault="00D81C62" w:rsidP="00D81C62">
      <w:pPr>
        <w:pStyle w:val="a5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C2F" w:rsidRDefault="00EE2D2D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ab/>
      </w:r>
      <w:r w:rsidR="009C3486">
        <w:rPr>
          <w:rFonts w:ascii="Times New Roman" w:hAnsi="Times New Roman" w:cs="Times New Roman"/>
          <w:i/>
          <w:sz w:val="24"/>
          <w:szCs w:val="24"/>
        </w:rPr>
        <w:tab/>
      </w:r>
      <w:r w:rsidR="004946E3">
        <w:rPr>
          <w:rFonts w:ascii="Times New Roman" w:hAnsi="Times New Roman" w:cs="Times New Roman"/>
          <w:i/>
          <w:sz w:val="24"/>
          <w:szCs w:val="24"/>
        </w:rPr>
        <w:t>Уровень административных затрат по итогам 202</w:t>
      </w:r>
      <w:r w:rsidR="000F17E8">
        <w:rPr>
          <w:rFonts w:ascii="Times New Roman" w:hAnsi="Times New Roman" w:cs="Times New Roman"/>
          <w:i/>
          <w:sz w:val="24"/>
          <w:szCs w:val="24"/>
        </w:rPr>
        <w:t>2</w:t>
      </w:r>
      <w:r w:rsidR="004946E3">
        <w:rPr>
          <w:rFonts w:ascii="Times New Roman" w:hAnsi="Times New Roman" w:cs="Times New Roman"/>
          <w:i/>
          <w:sz w:val="24"/>
          <w:szCs w:val="24"/>
        </w:rPr>
        <w:t xml:space="preserve"> года составил 1 0</w:t>
      </w:r>
      <w:r w:rsidR="00AD1B17">
        <w:rPr>
          <w:rFonts w:ascii="Times New Roman" w:hAnsi="Times New Roman" w:cs="Times New Roman"/>
          <w:i/>
          <w:sz w:val="24"/>
          <w:szCs w:val="24"/>
        </w:rPr>
        <w:t>86</w:t>
      </w:r>
      <w:r w:rsidR="004946E3">
        <w:rPr>
          <w:rFonts w:ascii="Times New Roman" w:hAnsi="Times New Roman" w:cs="Times New Roman"/>
          <w:i/>
          <w:sz w:val="24"/>
          <w:szCs w:val="24"/>
        </w:rPr>
        <w:t xml:space="preserve"> млн. рублей</w:t>
      </w:r>
      <w:r w:rsidR="000F17E8">
        <w:rPr>
          <w:rFonts w:ascii="Times New Roman" w:hAnsi="Times New Roman" w:cs="Times New Roman"/>
          <w:i/>
          <w:sz w:val="24"/>
          <w:szCs w:val="24"/>
        </w:rPr>
        <w:t xml:space="preserve"> что выше уровня 2021 года на </w:t>
      </w:r>
      <w:r w:rsidR="00AD1B17">
        <w:rPr>
          <w:rFonts w:ascii="Times New Roman" w:hAnsi="Times New Roman" w:cs="Times New Roman"/>
          <w:i/>
          <w:sz w:val="24"/>
          <w:szCs w:val="24"/>
        </w:rPr>
        <w:t>38</w:t>
      </w:r>
      <w:r w:rsidR="00524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BB8">
        <w:rPr>
          <w:rFonts w:ascii="Times New Roman" w:hAnsi="Times New Roman" w:cs="Times New Roman"/>
          <w:i/>
          <w:sz w:val="24"/>
          <w:szCs w:val="24"/>
        </w:rPr>
        <w:t xml:space="preserve">млн. рублей. За 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отчетный период отмечается снижение </w:t>
      </w:r>
      <w:r w:rsidR="004A6C9E">
        <w:rPr>
          <w:rFonts w:ascii="Times New Roman" w:hAnsi="Times New Roman" w:cs="Times New Roman"/>
          <w:i/>
          <w:sz w:val="24"/>
          <w:szCs w:val="24"/>
        </w:rPr>
        <w:t>затрат на</w:t>
      </w:r>
      <w:r w:rsidR="006D0F96">
        <w:rPr>
          <w:rFonts w:ascii="Times New Roman" w:hAnsi="Times New Roman" w:cs="Times New Roman"/>
          <w:i/>
          <w:sz w:val="24"/>
          <w:szCs w:val="24"/>
        </w:rPr>
        <w:t xml:space="preserve"> прочие расходы на персонал, </w:t>
      </w:r>
      <w:r w:rsidR="004A6C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EF5">
        <w:rPr>
          <w:rFonts w:ascii="Times New Roman" w:hAnsi="Times New Roman" w:cs="Times New Roman"/>
          <w:i/>
          <w:sz w:val="24"/>
          <w:szCs w:val="24"/>
        </w:rPr>
        <w:t>транспортные услуги,</w:t>
      </w:r>
      <w:r w:rsidR="004A6C9E">
        <w:rPr>
          <w:rFonts w:ascii="Times New Roman" w:hAnsi="Times New Roman" w:cs="Times New Roman"/>
          <w:i/>
          <w:sz w:val="24"/>
          <w:szCs w:val="24"/>
        </w:rPr>
        <w:t xml:space="preserve"> материалы и оборудования, консульта</w:t>
      </w:r>
      <w:r w:rsidR="00524C84">
        <w:rPr>
          <w:rFonts w:ascii="Times New Roman" w:hAnsi="Times New Roman" w:cs="Times New Roman"/>
          <w:i/>
          <w:sz w:val="24"/>
          <w:szCs w:val="24"/>
        </w:rPr>
        <w:t>ционн</w:t>
      </w:r>
      <w:r w:rsidR="00C70EF5">
        <w:rPr>
          <w:rFonts w:ascii="Times New Roman" w:hAnsi="Times New Roman" w:cs="Times New Roman"/>
          <w:i/>
          <w:sz w:val="24"/>
          <w:szCs w:val="24"/>
        </w:rPr>
        <w:t>ые</w:t>
      </w:r>
      <w:r w:rsidR="00524C84">
        <w:rPr>
          <w:rFonts w:ascii="Times New Roman" w:hAnsi="Times New Roman" w:cs="Times New Roman"/>
          <w:i/>
          <w:sz w:val="24"/>
          <w:szCs w:val="24"/>
        </w:rPr>
        <w:t xml:space="preserve"> и информационные услуги, 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что является результатом проводимой на предприятии работы по оптимизации расходов. </w:t>
      </w:r>
      <w:r w:rsidR="00161120">
        <w:rPr>
          <w:rFonts w:ascii="Times New Roman" w:hAnsi="Times New Roman" w:cs="Times New Roman"/>
          <w:i/>
          <w:sz w:val="24"/>
          <w:szCs w:val="24"/>
        </w:rPr>
        <w:t>Например,</w:t>
      </w:r>
      <w:r w:rsidR="00F45770" w:rsidRPr="00711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F96">
        <w:rPr>
          <w:rFonts w:ascii="Times New Roman" w:hAnsi="Times New Roman" w:cs="Times New Roman"/>
          <w:i/>
          <w:sz w:val="24"/>
          <w:szCs w:val="24"/>
        </w:rPr>
        <w:t xml:space="preserve">прочие расходы на персонал сокращены на 14,9 млн. рублей, </w:t>
      </w:r>
      <w:r w:rsidR="00C70EF5">
        <w:rPr>
          <w:rFonts w:ascii="Times New Roman" w:hAnsi="Times New Roman" w:cs="Times New Roman"/>
          <w:i/>
          <w:sz w:val="24"/>
          <w:szCs w:val="24"/>
        </w:rPr>
        <w:t>транспортные услуги</w:t>
      </w:r>
      <w:r w:rsidR="00237D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BB8" w:rsidRPr="00711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сокращены на </w:t>
      </w:r>
      <w:r w:rsidR="00C70EF5">
        <w:rPr>
          <w:rFonts w:ascii="Times New Roman" w:hAnsi="Times New Roman" w:cs="Times New Roman"/>
          <w:i/>
          <w:sz w:val="24"/>
          <w:szCs w:val="24"/>
        </w:rPr>
        <w:t>9,2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 w:rsidRPr="00711BB8">
        <w:rPr>
          <w:rFonts w:ascii="Times New Roman" w:hAnsi="Times New Roman" w:cs="Times New Roman"/>
          <w:i/>
          <w:sz w:val="24"/>
          <w:szCs w:val="24"/>
        </w:rPr>
        <w:t>млн</w:t>
      </w:r>
      <w:r w:rsidR="00237DCC">
        <w:rPr>
          <w:rFonts w:ascii="Times New Roman" w:hAnsi="Times New Roman" w:cs="Times New Roman"/>
          <w:i/>
          <w:sz w:val="24"/>
          <w:szCs w:val="24"/>
        </w:rPr>
        <w:t>.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11BB8" w:rsidRPr="00711BB8">
        <w:rPr>
          <w:rFonts w:ascii="Times New Roman" w:hAnsi="Times New Roman" w:cs="Times New Roman"/>
          <w:i/>
          <w:sz w:val="24"/>
          <w:szCs w:val="24"/>
        </w:rPr>
        <w:t xml:space="preserve">затраты на </w:t>
      </w:r>
      <w:r w:rsidR="00C70EF5">
        <w:rPr>
          <w:rFonts w:ascii="Times New Roman" w:hAnsi="Times New Roman" w:cs="Times New Roman"/>
          <w:i/>
          <w:sz w:val="24"/>
          <w:szCs w:val="24"/>
        </w:rPr>
        <w:t>материалы и оборудование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lastRenderedPageBreak/>
        <w:t>с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>низились на</w:t>
      </w:r>
      <w:r w:rsidR="00C70EF5">
        <w:rPr>
          <w:rFonts w:ascii="Times New Roman" w:hAnsi="Times New Roman" w:cs="Times New Roman"/>
          <w:i/>
          <w:sz w:val="24"/>
          <w:szCs w:val="24"/>
        </w:rPr>
        <w:t xml:space="preserve"> 11,6 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 w:rsidRPr="00711BB8">
        <w:rPr>
          <w:rFonts w:ascii="Times New Roman" w:hAnsi="Times New Roman" w:cs="Times New Roman"/>
          <w:i/>
          <w:sz w:val="24"/>
          <w:szCs w:val="24"/>
        </w:rPr>
        <w:t>млн</w:t>
      </w:r>
      <w:r w:rsidR="00237DCC">
        <w:rPr>
          <w:rFonts w:ascii="Times New Roman" w:hAnsi="Times New Roman" w:cs="Times New Roman"/>
          <w:i/>
          <w:sz w:val="24"/>
          <w:szCs w:val="24"/>
        </w:rPr>
        <w:t>.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16112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0EF5">
        <w:rPr>
          <w:rFonts w:ascii="Times New Roman" w:hAnsi="Times New Roman" w:cs="Times New Roman"/>
          <w:i/>
          <w:sz w:val="24"/>
          <w:szCs w:val="24"/>
        </w:rPr>
        <w:t xml:space="preserve">консультационные и информационные услуги 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снижены на </w:t>
      </w:r>
      <w:r w:rsidR="00C70EF5">
        <w:rPr>
          <w:rFonts w:ascii="Times New Roman" w:hAnsi="Times New Roman" w:cs="Times New Roman"/>
          <w:i/>
          <w:sz w:val="24"/>
          <w:szCs w:val="24"/>
        </w:rPr>
        <w:t>23,5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 w:rsidRPr="00711BB8">
        <w:rPr>
          <w:rFonts w:ascii="Times New Roman" w:hAnsi="Times New Roman" w:cs="Times New Roman"/>
          <w:i/>
          <w:sz w:val="24"/>
          <w:szCs w:val="24"/>
        </w:rPr>
        <w:t>млн</w:t>
      </w:r>
      <w:r w:rsidR="005D36A6">
        <w:rPr>
          <w:rFonts w:ascii="Times New Roman" w:hAnsi="Times New Roman" w:cs="Times New Roman"/>
          <w:i/>
          <w:sz w:val="24"/>
          <w:szCs w:val="24"/>
        </w:rPr>
        <w:t>.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C70EF5">
        <w:rPr>
          <w:rFonts w:ascii="Times New Roman" w:hAnsi="Times New Roman" w:cs="Times New Roman"/>
          <w:i/>
          <w:sz w:val="24"/>
          <w:szCs w:val="24"/>
        </w:rPr>
        <w:t>.</w:t>
      </w:r>
    </w:p>
    <w:p w:rsidR="008C5E37" w:rsidRDefault="008C5E37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По итогам 202</w:t>
      </w:r>
      <w:r w:rsidR="00C4716E">
        <w:rPr>
          <w:rFonts w:ascii="Times New Roman" w:hAnsi="Times New Roman" w:cs="Times New Roman"/>
          <w:i/>
          <w:sz w:val="24"/>
          <w:szCs w:val="24"/>
        </w:rPr>
        <w:t xml:space="preserve">2 </w:t>
      </w:r>
      <w:r>
        <w:rPr>
          <w:rFonts w:ascii="Times New Roman" w:hAnsi="Times New Roman" w:cs="Times New Roman"/>
          <w:i/>
          <w:sz w:val="24"/>
          <w:szCs w:val="24"/>
        </w:rPr>
        <w:t>года операционная прибыль предприятия сложил</w:t>
      </w:r>
      <w:r w:rsidR="00582C4F">
        <w:rPr>
          <w:rFonts w:ascii="Times New Roman" w:hAnsi="Times New Roman" w:cs="Times New Roman"/>
          <w:i/>
          <w:sz w:val="24"/>
          <w:szCs w:val="24"/>
        </w:rPr>
        <w:t>ась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582C4F">
        <w:rPr>
          <w:rFonts w:ascii="Times New Roman" w:hAnsi="Times New Roman" w:cs="Times New Roman"/>
          <w:i/>
          <w:sz w:val="24"/>
          <w:szCs w:val="24"/>
        </w:rPr>
        <w:t xml:space="preserve"> размере </w:t>
      </w:r>
      <w:r w:rsidR="00C4716E">
        <w:rPr>
          <w:rFonts w:ascii="Times New Roman" w:hAnsi="Times New Roman" w:cs="Times New Roman"/>
          <w:i/>
          <w:sz w:val="24"/>
          <w:szCs w:val="24"/>
        </w:rPr>
        <w:t>1</w:t>
      </w:r>
      <w:r w:rsidR="007F71F8">
        <w:rPr>
          <w:rFonts w:ascii="Times New Roman" w:hAnsi="Times New Roman" w:cs="Times New Roman"/>
          <w:i/>
          <w:sz w:val="24"/>
          <w:szCs w:val="24"/>
        </w:rPr>
        <w:t xml:space="preserve"> 712 </w:t>
      </w:r>
      <w:r w:rsidR="00582C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r w:rsidR="00AA7593">
        <w:rPr>
          <w:rFonts w:ascii="Times New Roman" w:hAnsi="Times New Roman" w:cs="Times New Roman"/>
          <w:i/>
          <w:sz w:val="24"/>
          <w:szCs w:val="24"/>
        </w:rPr>
        <w:t>.</w:t>
      </w:r>
      <w:r w:rsidR="00582C4F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E56042">
        <w:rPr>
          <w:rFonts w:ascii="Times New Roman" w:hAnsi="Times New Roman" w:cs="Times New Roman"/>
          <w:i/>
          <w:sz w:val="24"/>
          <w:szCs w:val="24"/>
        </w:rPr>
        <w:t>. По</w:t>
      </w:r>
      <w:r w:rsidR="001F3064">
        <w:rPr>
          <w:rFonts w:ascii="Times New Roman" w:hAnsi="Times New Roman" w:cs="Times New Roman"/>
          <w:i/>
          <w:sz w:val="24"/>
          <w:szCs w:val="24"/>
        </w:rPr>
        <w:t xml:space="preserve"> сравнению с </w:t>
      </w:r>
      <w:r w:rsidR="00AA7593">
        <w:rPr>
          <w:rFonts w:ascii="Times New Roman" w:hAnsi="Times New Roman" w:cs="Times New Roman"/>
          <w:i/>
          <w:sz w:val="24"/>
          <w:szCs w:val="24"/>
        </w:rPr>
        <w:t>показателем</w:t>
      </w:r>
      <w:r w:rsidR="00C4716E">
        <w:rPr>
          <w:rFonts w:ascii="Times New Roman" w:hAnsi="Times New Roman" w:cs="Times New Roman"/>
          <w:i/>
          <w:sz w:val="24"/>
          <w:szCs w:val="24"/>
        </w:rPr>
        <w:t xml:space="preserve"> 2021</w:t>
      </w:r>
      <w:r w:rsidR="001F3064">
        <w:rPr>
          <w:rFonts w:ascii="Times New Roman" w:hAnsi="Times New Roman" w:cs="Times New Roman"/>
          <w:i/>
          <w:sz w:val="24"/>
          <w:szCs w:val="24"/>
        </w:rPr>
        <w:t xml:space="preserve"> года зафиксировано </w:t>
      </w:r>
      <w:r w:rsidR="00711BB8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="001F306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7F71F8">
        <w:rPr>
          <w:rFonts w:ascii="Times New Roman" w:hAnsi="Times New Roman" w:cs="Times New Roman"/>
          <w:i/>
          <w:sz w:val="24"/>
          <w:szCs w:val="24"/>
        </w:rPr>
        <w:t>797</w:t>
      </w:r>
      <w:r w:rsidR="003A6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r w:rsidR="00AA7593">
        <w:rPr>
          <w:rFonts w:ascii="Times New Roman" w:hAnsi="Times New Roman" w:cs="Times New Roman"/>
          <w:i/>
          <w:sz w:val="24"/>
          <w:szCs w:val="24"/>
        </w:rPr>
        <w:t>.</w:t>
      </w:r>
      <w:r w:rsidR="003A6888">
        <w:rPr>
          <w:rFonts w:ascii="Times New Roman" w:hAnsi="Times New Roman" w:cs="Times New Roman"/>
          <w:i/>
          <w:sz w:val="24"/>
          <w:szCs w:val="24"/>
        </w:rPr>
        <w:t xml:space="preserve"> рублей (таблица №2).</w:t>
      </w:r>
    </w:p>
    <w:p w:rsidR="00C86F82" w:rsidRPr="001F3064" w:rsidRDefault="00C86F82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AF9" w:rsidRPr="006234E9" w:rsidRDefault="00573AF9" w:rsidP="00573AF9">
      <w:pPr>
        <w:pStyle w:val="a5"/>
        <w:tabs>
          <w:tab w:val="left" w:pos="567"/>
        </w:tabs>
        <w:spacing w:after="0"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34E9">
        <w:rPr>
          <w:rFonts w:ascii="Times New Roman" w:hAnsi="Times New Roman" w:cs="Times New Roman"/>
          <w:i/>
          <w:szCs w:val="24"/>
        </w:rPr>
        <w:t>Таблица №</w:t>
      </w:r>
      <w:r>
        <w:rPr>
          <w:rFonts w:ascii="Times New Roman" w:hAnsi="Times New Roman" w:cs="Times New Roman"/>
          <w:i/>
          <w:szCs w:val="24"/>
        </w:rPr>
        <w:t>2</w:t>
      </w:r>
      <w:r w:rsidRPr="006234E9">
        <w:rPr>
          <w:rFonts w:ascii="Times New Roman" w:hAnsi="Times New Roman" w:cs="Times New Roman"/>
          <w:i/>
          <w:szCs w:val="24"/>
        </w:rPr>
        <w:t xml:space="preserve">. </w:t>
      </w:r>
      <w:r>
        <w:rPr>
          <w:rFonts w:ascii="Times New Roman" w:hAnsi="Times New Roman" w:cs="Times New Roman"/>
          <w:i/>
          <w:szCs w:val="24"/>
        </w:rPr>
        <w:t>Операционная прибыль 202</w:t>
      </w:r>
      <w:r w:rsidR="00FE2FBA">
        <w:rPr>
          <w:rFonts w:ascii="Times New Roman" w:hAnsi="Times New Roman" w:cs="Times New Roman"/>
          <w:i/>
          <w:szCs w:val="24"/>
        </w:rPr>
        <w:t>2</w:t>
      </w:r>
      <w:r w:rsidR="003A6888">
        <w:rPr>
          <w:rFonts w:ascii="Times New Roman" w:hAnsi="Times New Roman" w:cs="Times New Roman"/>
          <w:i/>
          <w:szCs w:val="24"/>
        </w:rPr>
        <w:t>-202</w:t>
      </w:r>
      <w:r w:rsidR="00FE2FBA">
        <w:rPr>
          <w:rFonts w:ascii="Times New Roman" w:hAnsi="Times New Roman" w:cs="Times New Roman"/>
          <w:i/>
          <w:szCs w:val="24"/>
        </w:rPr>
        <w:t>1</w:t>
      </w:r>
      <w:r w:rsidR="003A6888">
        <w:rPr>
          <w:rFonts w:ascii="Times New Roman" w:hAnsi="Times New Roman" w:cs="Times New Roman"/>
          <w:i/>
          <w:szCs w:val="24"/>
        </w:rPr>
        <w:t xml:space="preserve"> гг. (</w:t>
      </w:r>
      <w:r w:rsidR="008B67B8">
        <w:rPr>
          <w:rFonts w:ascii="Times New Roman" w:hAnsi="Times New Roman" w:cs="Times New Roman"/>
          <w:i/>
          <w:szCs w:val="24"/>
        </w:rPr>
        <w:t>млн</w:t>
      </w:r>
      <w:r w:rsidR="006D0F96">
        <w:rPr>
          <w:rFonts w:ascii="Times New Roman" w:hAnsi="Times New Roman" w:cs="Times New Roman"/>
          <w:i/>
          <w:szCs w:val="24"/>
        </w:rPr>
        <w:t>.</w:t>
      </w:r>
      <w:r w:rsidR="003A6888">
        <w:rPr>
          <w:rFonts w:ascii="Times New Roman" w:hAnsi="Times New Roman" w:cs="Times New Roman"/>
          <w:i/>
          <w:szCs w:val="24"/>
        </w:rPr>
        <w:t xml:space="preserve">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80"/>
        <w:gridCol w:w="1170"/>
        <w:gridCol w:w="1797"/>
        <w:gridCol w:w="1795"/>
      </w:tblGrid>
      <w:tr w:rsidR="00101DFA" w:rsidRPr="008C5E37" w:rsidTr="00101DFA">
        <w:trPr>
          <w:trHeight w:val="315"/>
        </w:trPr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101DFA" w:rsidP="008C5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FE2FBA" w:rsidRDefault="00FE2FBA" w:rsidP="00573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FBA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9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FE2FBA" w:rsidRDefault="00FE2FBA" w:rsidP="00573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FBA"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7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DFA" w:rsidRPr="00FE2FBA" w:rsidRDefault="006B3283" w:rsidP="00101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2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Изм.</w:t>
            </w:r>
          </w:p>
        </w:tc>
      </w:tr>
      <w:tr w:rsidR="00101DFA" w:rsidRPr="008C5E37" w:rsidTr="00101DF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101DFA" w:rsidP="008C5E3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Операционная прибыль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FE2FBA" w:rsidRDefault="00FE2FBA" w:rsidP="007F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2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7F71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FE2FBA" w:rsidRDefault="00FE2FBA" w:rsidP="0071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2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DFA" w:rsidRPr="00FE2FBA" w:rsidRDefault="007F71F8" w:rsidP="00101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</w:t>
            </w:r>
          </w:p>
        </w:tc>
      </w:tr>
      <w:tr w:rsidR="00101DFA" w:rsidRPr="008C5E37" w:rsidTr="00101DFA">
        <w:trPr>
          <w:trHeight w:val="315"/>
        </w:trPr>
        <w:tc>
          <w:tcPr>
            <w:tcW w:w="24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101DFA" w:rsidP="008C5E3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Рентабельность по опер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5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C5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рибыли, %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FE2FBA" w:rsidRDefault="00FE2FBA" w:rsidP="007F7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2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</w:t>
            </w:r>
            <w:r w:rsidR="007F71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FE2FBA" w:rsidRDefault="007F71F8" w:rsidP="00573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71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01DFA" w:rsidRPr="00FE2FBA" w:rsidRDefault="007F71F8" w:rsidP="00573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</w:tbl>
    <w:p w:rsidR="00CB4978" w:rsidRDefault="00AA7593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B4978" w:rsidRDefault="007F71F8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EBIT</w:t>
      </w:r>
      <w:r w:rsidRPr="0028401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(прибыль до вычета процентов и налогов) по итогам 2022 года составил 1 942 млн. рублей, что выше показателя 2021 года на 1 081 млн. рублей. При этом показатель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EBITDA</w:t>
      </w:r>
      <w:r w:rsidRPr="009C34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C3486">
        <w:rPr>
          <w:rFonts w:ascii="Times New Roman" w:hAnsi="Times New Roman" w:cs="Times New Roman"/>
          <w:i/>
          <w:sz w:val="24"/>
          <w:szCs w:val="24"/>
        </w:rPr>
        <w:t>прибыл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9C3486">
        <w:rPr>
          <w:rFonts w:ascii="Times New Roman" w:hAnsi="Times New Roman" w:cs="Times New Roman"/>
          <w:i/>
          <w:sz w:val="24"/>
          <w:szCs w:val="24"/>
        </w:rPr>
        <w:t xml:space="preserve"> до вычета процентов, налогов и начисленной амортизации</w:t>
      </w:r>
      <w:r>
        <w:rPr>
          <w:rFonts w:ascii="Times New Roman" w:hAnsi="Times New Roman" w:cs="Times New Roman"/>
          <w:i/>
          <w:sz w:val="24"/>
          <w:szCs w:val="24"/>
        </w:rPr>
        <w:t>) увеличился на 1 923 млн. руб. и составил 5 276 млн. руб.</w:t>
      </w:r>
    </w:p>
    <w:p w:rsidR="00CB4978" w:rsidRDefault="00CB4978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7FC3" w:rsidRPr="006234E9" w:rsidRDefault="00877FC3" w:rsidP="00877FC3">
      <w:pPr>
        <w:pStyle w:val="a5"/>
        <w:tabs>
          <w:tab w:val="left" w:pos="567"/>
        </w:tabs>
        <w:spacing w:after="0"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34E9">
        <w:rPr>
          <w:rFonts w:ascii="Times New Roman" w:hAnsi="Times New Roman" w:cs="Times New Roman"/>
          <w:i/>
          <w:szCs w:val="24"/>
        </w:rPr>
        <w:t>Таблица №</w:t>
      </w:r>
      <w:r w:rsidR="00711BB8">
        <w:rPr>
          <w:rFonts w:ascii="Times New Roman" w:hAnsi="Times New Roman" w:cs="Times New Roman"/>
          <w:i/>
          <w:szCs w:val="24"/>
        </w:rPr>
        <w:t>3</w:t>
      </w:r>
      <w:r w:rsidRPr="006234E9">
        <w:rPr>
          <w:rFonts w:ascii="Times New Roman" w:hAnsi="Times New Roman" w:cs="Times New Roman"/>
          <w:i/>
          <w:szCs w:val="24"/>
        </w:rPr>
        <w:t xml:space="preserve">. </w:t>
      </w:r>
      <w:r>
        <w:rPr>
          <w:rFonts w:ascii="Times New Roman" w:hAnsi="Times New Roman" w:cs="Times New Roman"/>
          <w:i/>
          <w:szCs w:val="24"/>
        </w:rPr>
        <w:t>Финансовые показатели (</w:t>
      </w:r>
      <w:r w:rsidR="008B67B8">
        <w:rPr>
          <w:rFonts w:ascii="Times New Roman" w:hAnsi="Times New Roman" w:cs="Times New Roman"/>
          <w:i/>
          <w:szCs w:val="24"/>
        </w:rPr>
        <w:t>млн</w:t>
      </w:r>
      <w:r>
        <w:rPr>
          <w:rFonts w:ascii="Times New Roman" w:hAnsi="Times New Roman" w:cs="Times New Roman"/>
          <w:i/>
          <w:szCs w:val="24"/>
        </w:rPr>
        <w:t xml:space="preserve"> руб.)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4"/>
        <w:gridCol w:w="1770"/>
        <w:gridCol w:w="1769"/>
        <w:gridCol w:w="1769"/>
      </w:tblGrid>
      <w:tr w:rsidR="00666778" w:rsidRPr="008C5E37" w:rsidTr="00E56042">
        <w:trPr>
          <w:trHeight w:val="315"/>
        </w:trPr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778" w:rsidRPr="008C5E37" w:rsidRDefault="00666778" w:rsidP="00666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778" w:rsidRPr="008C5E37" w:rsidRDefault="00711BB8" w:rsidP="007F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7F71F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778" w:rsidRPr="008C5E37" w:rsidRDefault="00711BB8" w:rsidP="007F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7F71F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6778" w:rsidRDefault="006B3283" w:rsidP="006B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Изм.</w:t>
            </w:r>
          </w:p>
        </w:tc>
      </w:tr>
      <w:tr w:rsidR="00F01AE4" w:rsidRPr="008C5E37" w:rsidTr="00E56042">
        <w:trPr>
          <w:trHeight w:val="300"/>
        </w:trPr>
        <w:tc>
          <w:tcPr>
            <w:tcW w:w="2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AE4" w:rsidRPr="00284011" w:rsidRDefault="00F01AE4" w:rsidP="00711B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Чистая прибыль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AE4" w:rsidRPr="008C5E37" w:rsidRDefault="007F71F8" w:rsidP="0071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AE4" w:rsidRPr="008C5E37" w:rsidRDefault="00F01AE4" w:rsidP="00C47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C4716E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1AE4" w:rsidRPr="008C5E37" w:rsidRDefault="007F71F8" w:rsidP="00582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</w:tr>
      <w:tr w:rsidR="00F01AE4" w:rsidRPr="008C5E37" w:rsidTr="00E56042">
        <w:trPr>
          <w:trHeight w:val="315"/>
        </w:trPr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AE4" w:rsidRPr="008C5E37" w:rsidRDefault="00F01AE4" w:rsidP="00711B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EBIT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AE4" w:rsidRPr="008C5E37" w:rsidRDefault="007F71F8" w:rsidP="00582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1 942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AE4" w:rsidRPr="008C5E37" w:rsidRDefault="00C4716E" w:rsidP="00582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861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AE4" w:rsidRPr="008C5E37" w:rsidRDefault="007F71F8" w:rsidP="00582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</w:t>
            </w:r>
          </w:p>
        </w:tc>
      </w:tr>
      <w:tr w:rsidR="00F01AE4" w:rsidRPr="008C5E37" w:rsidTr="00E56042">
        <w:trPr>
          <w:trHeight w:val="315"/>
        </w:trPr>
        <w:tc>
          <w:tcPr>
            <w:tcW w:w="212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01AE4" w:rsidRPr="00711BB8" w:rsidRDefault="00F01AE4" w:rsidP="00711B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EBITDA</w:t>
            </w:r>
          </w:p>
        </w:tc>
        <w:tc>
          <w:tcPr>
            <w:tcW w:w="9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01AE4" w:rsidRDefault="007F71F8" w:rsidP="007F71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5 276</w:t>
            </w:r>
          </w:p>
        </w:tc>
        <w:tc>
          <w:tcPr>
            <w:tcW w:w="9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01AE4" w:rsidRDefault="00C4716E" w:rsidP="00C471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3 352</w:t>
            </w:r>
          </w:p>
        </w:tc>
        <w:tc>
          <w:tcPr>
            <w:tcW w:w="95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01AE4" w:rsidRDefault="007F71F8" w:rsidP="00582C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1 923</w:t>
            </w:r>
          </w:p>
        </w:tc>
      </w:tr>
    </w:tbl>
    <w:p w:rsidR="00E56042" w:rsidRDefault="00E56042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486" w:rsidRPr="009C3486" w:rsidRDefault="00284011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90161" w:rsidRDefault="00E56042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86F82" w:rsidRPr="00C86F82" w:rsidRDefault="00C86F82" w:rsidP="00C86F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6F82">
        <w:rPr>
          <w:rFonts w:ascii="Times New Roman" w:hAnsi="Times New Roman" w:cs="Times New Roman"/>
          <w:b/>
          <w:i/>
          <w:sz w:val="24"/>
          <w:szCs w:val="24"/>
        </w:rPr>
        <w:t>Структура и динамика обязательств</w:t>
      </w:r>
    </w:p>
    <w:p w:rsidR="00C86F82" w:rsidRPr="00C86F82" w:rsidRDefault="00C86F82" w:rsidP="00C86F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4978" w:rsidRPr="00CB4978" w:rsidRDefault="00C86F82" w:rsidP="00CB497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F82">
        <w:rPr>
          <w:rFonts w:ascii="Times New Roman" w:hAnsi="Times New Roman" w:cs="Times New Roman"/>
          <w:i/>
          <w:sz w:val="24"/>
          <w:szCs w:val="24"/>
        </w:rPr>
        <w:tab/>
      </w:r>
      <w:r w:rsidR="00CB4978" w:rsidRPr="00CB4978">
        <w:rPr>
          <w:rFonts w:ascii="Times New Roman" w:hAnsi="Times New Roman" w:cs="Times New Roman"/>
          <w:i/>
          <w:sz w:val="24"/>
          <w:szCs w:val="24"/>
        </w:rPr>
        <w:t xml:space="preserve">Дебиторская задолженность по состоянию на 31.12.2022 г. составила 8 865 млн. рублей, по сравнению с аналогичным периодом прошлого года увеличился на 29%. </w:t>
      </w:r>
      <w:r w:rsidR="00CB4978" w:rsidRPr="00E67C4C">
        <w:rPr>
          <w:rFonts w:ascii="Times New Roman" w:hAnsi="Times New Roman" w:cs="Times New Roman"/>
          <w:i/>
          <w:sz w:val="24"/>
          <w:szCs w:val="24"/>
        </w:rPr>
        <w:t>Увеличение объясняется учетом по 76 счету</w:t>
      </w:r>
      <w:r w:rsidR="00CB4978" w:rsidRPr="00CB4978">
        <w:rPr>
          <w:rFonts w:ascii="Times New Roman" w:hAnsi="Times New Roman" w:cs="Times New Roman"/>
          <w:i/>
          <w:sz w:val="24"/>
          <w:szCs w:val="24"/>
        </w:rPr>
        <w:t xml:space="preserve"> задолженности ГКУ РС (Я) «Агентства Субсидий» перед ГУП «ЖКХ Р</w:t>
      </w:r>
      <w:proofErr w:type="gramStart"/>
      <w:r w:rsidR="00CB4978" w:rsidRPr="00CB4978"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 w:rsidR="00CB4978" w:rsidRPr="00CB4978">
        <w:rPr>
          <w:rFonts w:ascii="Times New Roman" w:hAnsi="Times New Roman" w:cs="Times New Roman"/>
          <w:i/>
          <w:sz w:val="24"/>
          <w:szCs w:val="24"/>
        </w:rPr>
        <w:t>Я)». Погашение задолженности ожидается в первом полугодии 2023 года.</w:t>
      </w:r>
    </w:p>
    <w:p w:rsidR="00CB4978" w:rsidRPr="00CB4978" w:rsidRDefault="00CB4978" w:rsidP="00CB497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978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CB4978">
        <w:rPr>
          <w:rFonts w:ascii="Times New Roman" w:hAnsi="Times New Roman" w:cs="Times New Roman"/>
          <w:i/>
          <w:sz w:val="24"/>
          <w:szCs w:val="24"/>
        </w:rPr>
        <w:t>Вследствие неполного выделения субсидии на возмещение выпадающих доходов по причине установления льготных тарифов на коммунальные услуги по итогам</w:t>
      </w:r>
      <w:proofErr w:type="gramEnd"/>
      <w:r w:rsidRPr="00CB4978">
        <w:rPr>
          <w:rFonts w:ascii="Times New Roman" w:hAnsi="Times New Roman" w:cs="Times New Roman"/>
          <w:i/>
          <w:sz w:val="24"/>
          <w:szCs w:val="24"/>
        </w:rPr>
        <w:t xml:space="preserve"> 2022 года, кредиторская задолженность предприятия составила 5 083 млн. рублей, увеличившись по сравнению с аналогичным периодом прошлого года на 11%. </w:t>
      </w:r>
    </w:p>
    <w:p w:rsidR="00CB4978" w:rsidRPr="00CB4978" w:rsidRDefault="00CB4978" w:rsidP="00CB497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4978" w:rsidRPr="00CB4978" w:rsidRDefault="00CB4978" w:rsidP="00CB4978">
      <w:pPr>
        <w:spacing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CB4978">
        <w:rPr>
          <w:rFonts w:ascii="Times New Roman" w:hAnsi="Times New Roman" w:cs="Times New Roman"/>
          <w:i/>
          <w:szCs w:val="24"/>
        </w:rPr>
        <w:lastRenderedPageBreak/>
        <w:t>Таблица №</w:t>
      </w:r>
      <w:r>
        <w:rPr>
          <w:rFonts w:ascii="Times New Roman" w:hAnsi="Times New Roman" w:cs="Times New Roman"/>
          <w:i/>
          <w:szCs w:val="24"/>
        </w:rPr>
        <w:t>4</w:t>
      </w:r>
      <w:r w:rsidRPr="00CB4978">
        <w:rPr>
          <w:rFonts w:ascii="Times New Roman" w:hAnsi="Times New Roman" w:cs="Times New Roman"/>
          <w:i/>
          <w:szCs w:val="24"/>
        </w:rPr>
        <w:t>. Обязательства 2021-2022 гг. (</w:t>
      </w:r>
      <w:proofErr w:type="gramStart"/>
      <w:r w:rsidRPr="00CB4978">
        <w:rPr>
          <w:rFonts w:ascii="Times New Roman" w:hAnsi="Times New Roman" w:cs="Times New Roman"/>
          <w:i/>
          <w:szCs w:val="24"/>
        </w:rPr>
        <w:t>млн</w:t>
      </w:r>
      <w:proofErr w:type="gramEnd"/>
      <w:r w:rsidRPr="00CB4978">
        <w:rPr>
          <w:rFonts w:ascii="Times New Roman" w:hAnsi="Times New Roman" w:cs="Times New Roman"/>
          <w:i/>
          <w:szCs w:val="24"/>
        </w:rPr>
        <w:t xml:space="preserve"> руб.)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120"/>
        <w:gridCol w:w="1900"/>
        <w:gridCol w:w="1840"/>
        <w:gridCol w:w="1240"/>
      </w:tblGrid>
      <w:tr w:rsidR="00CB4978" w:rsidRPr="00F111ED" w:rsidTr="00E67C4C">
        <w:trPr>
          <w:trHeight w:val="559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декабря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  <w:r w:rsidRPr="00F111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декабря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  <w:r w:rsidRPr="00F111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CB4978" w:rsidRPr="00F111ED" w:rsidTr="00E67C4C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Банковские кредиты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978" w:rsidRPr="00E62BD0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7 043 288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E62BD0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4 793 342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CB4978" w:rsidRPr="00F111ED" w:rsidTr="00E67C4C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978" w:rsidRPr="00E62BD0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2 631 312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3 468 398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</w:t>
            </w:r>
          </w:p>
        </w:tc>
      </w:tr>
      <w:tr w:rsidR="00CB4978" w:rsidRPr="00F111ED" w:rsidTr="00E67C4C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Облигационный заем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978" w:rsidRPr="009A7C4E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2 192 624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2 965 812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</w:t>
            </w:r>
          </w:p>
        </w:tc>
      </w:tr>
      <w:tr w:rsidR="00CB4978" w:rsidRPr="00F111ED" w:rsidTr="00E67C4C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долгосрочные кредиты и займы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978" w:rsidRPr="009A7C4E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11 867 224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11 227 552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B4978" w:rsidRPr="00F111ED" w:rsidTr="00E67C4C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Банковские кредиты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978" w:rsidRPr="009A7C4E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6 197 112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5 504 540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B4978" w:rsidRPr="00F111ED" w:rsidTr="00E67C4C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978" w:rsidRPr="009A7C4E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4 959 465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2 935 271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CB4978" w:rsidRPr="00F111ED" w:rsidTr="00E67C4C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Вексельные займы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978" w:rsidRPr="009A7C4E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244 590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-100</w:t>
            </w:r>
          </w:p>
        </w:tc>
      </w:tr>
      <w:tr w:rsidR="00CB4978" w:rsidRPr="00F111ED" w:rsidTr="00E67C4C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Факторинг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978" w:rsidRPr="009A7C4E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963 762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1 108 201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</w:t>
            </w:r>
          </w:p>
        </w:tc>
      </w:tr>
      <w:tr w:rsidR="00CB4978" w:rsidRPr="00F111ED" w:rsidTr="00E67C4C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краткосрочные кредиты и займы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978" w:rsidRPr="009A7C4E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12 120 339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9 792 602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CB4978" w:rsidRPr="00F111ED" w:rsidTr="00E67C4C">
        <w:trPr>
          <w:trHeight w:val="18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78" w:rsidRPr="00F111ED" w:rsidRDefault="00CB4978" w:rsidP="00E6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11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4978" w:rsidRPr="00F111ED" w:rsidTr="00E67C4C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1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кредиты и займы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9A7C4E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23 987 563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2B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21 020 154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78" w:rsidRPr="00F111ED" w:rsidRDefault="00CB4978" w:rsidP="00E6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</w:tbl>
    <w:p w:rsidR="00CB4978" w:rsidRDefault="00CB4978" w:rsidP="00CB497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978">
        <w:rPr>
          <w:rFonts w:ascii="Times New Roman" w:hAnsi="Times New Roman" w:cs="Times New Roman"/>
          <w:i/>
          <w:sz w:val="24"/>
          <w:szCs w:val="24"/>
        </w:rPr>
        <w:tab/>
      </w:r>
    </w:p>
    <w:p w:rsidR="00CB4978" w:rsidRPr="00CB4978" w:rsidRDefault="00CB4978" w:rsidP="00CB497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978">
        <w:rPr>
          <w:rFonts w:ascii="Times New Roman" w:hAnsi="Times New Roman" w:cs="Times New Roman"/>
          <w:i/>
          <w:sz w:val="24"/>
          <w:szCs w:val="24"/>
        </w:rPr>
        <w:t xml:space="preserve">Кредиты и займы по состоянию на 31.12.2022 г. составили 23 988 </w:t>
      </w:r>
      <w:proofErr w:type="gramStart"/>
      <w:r w:rsidRPr="00CB4978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Pr="00CB4978">
        <w:rPr>
          <w:rFonts w:ascii="Times New Roman" w:hAnsi="Times New Roman" w:cs="Times New Roman"/>
          <w:i/>
          <w:sz w:val="24"/>
          <w:szCs w:val="24"/>
        </w:rPr>
        <w:t xml:space="preserve"> рублей и по сравнению с аналогичным периодом прошлого года увеличились на 14 %. Увеличение объема кредитов и займов объясняется:</w:t>
      </w:r>
    </w:p>
    <w:p w:rsidR="00CB4978" w:rsidRPr="00CB4978" w:rsidRDefault="00CB4978" w:rsidP="00CB497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978">
        <w:rPr>
          <w:rFonts w:ascii="Times New Roman" w:hAnsi="Times New Roman" w:cs="Times New Roman"/>
          <w:i/>
          <w:sz w:val="24"/>
          <w:szCs w:val="24"/>
        </w:rPr>
        <w:t>- дополнительным привлечением коммерческих кредитов на финансирование текущей деятельности на сумму 2 800 млн. рублей под обеспечение государственной гарантии в связи с опережающим ростом цен на топливно-энергетические ресурсы и продукции производственно-технического назначения,</w:t>
      </w:r>
    </w:p>
    <w:p w:rsidR="00CB4978" w:rsidRPr="00CB4978" w:rsidRDefault="00CB4978" w:rsidP="00CB497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978">
        <w:rPr>
          <w:rFonts w:ascii="Times New Roman" w:hAnsi="Times New Roman" w:cs="Times New Roman"/>
          <w:i/>
          <w:sz w:val="24"/>
          <w:szCs w:val="24"/>
        </w:rPr>
        <w:t xml:space="preserve">- получением льготного долгосрочного </w:t>
      </w:r>
      <w:r w:rsidR="00F73F59">
        <w:rPr>
          <w:rFonts w:ascii="Times New Roman" w:hAnsi="Times New Roman" w:cs="Times New Roman"/>
          <w:i/>
          <w:sz w:val="24"/>
          <w:szCs w:val="24"/>
        </w:rPr>
        <w:t xml:space="preserve">инвестиционного </w:t>
      </w:r>
      <w:r w:rsidRPr="00CB4978">
        <w:rPr>
          <w:rFonts w:ascii="Times New Roman" w:hAnsi="Times New Roman" w:cs="Times New Roman"/>
          <w:i/>
          <w:sz w:val="24"/>
          <w:szCs w:val="24"/>
        </w:rPr>
        <w:t>займа от ГК Фонда содействия реформированию ЖКХ на сумму 300 млн. рублей на модернизацию и строительство объектов ГУП «ЖКХ РС (Я).</w:t>
      </w:r>
    </w:p>
    <w:p w:rsidR="00CB4978" w:rsidRPr="00CB4978" w:rsidRDefault="00CB4978" w:rsidP="00CB497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978">
        <w:rPr>
          <w:rFonts w:ascii="Times New Roman" w:hAnsi="Times New Roman" w:cs="Times New Roman"/>
          <w:i/>
          <w:sz w:val="24"/>
          <w:szCs w:val="24"/>
        </w:rPr>
        <w:tab/>
        <w:t>При этом</w:t>
      </w:r>
      <w:proofErr w:type="gramStart"/>
      <w:r w:rsidRPr="00CB497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CB4978">
        <w:rPr>
          <w:rFonts w:ascii="Times New Roman" w:hAnsi="Times New Roman" w:cs="Times New Roman"/>
          <w:i/>
          <w:sz w:val="24"/>
          <w:szCs w:val="24"/>
        </w:rPr>
        <w:t xml:space="preserve"> в целях сокращения расходов на обслуживание заемных средств проведена работа по рефинансированию ранее привлеченных действующих кредитов коммерческих банков под более низкую процентную ставку, сокращение вексельных займов и </w:t>
      </w:r>
      <w:proofErr w:type="spellStart"/>
      <w:r w:rsidRPr="00CB4978">
        <w:rPr>
          <w:rFonts w:ascii="Times New Roman" w:hAnsi="Times New Roman" w:cs="Times New Roman"/>
          <w:i/>
          <w:sz w:val="24"/>
          <w:szCs w:val="24"/>
        </w:rPr>
        <w:t>факторингового</w:t>
      </w:r>
      <w:proofErr w:type="spellEnd"/>
      <w:r w:rsidRPr="00CB4978">
        <w:rPr>
          <w:rFonts w:ascii="Times New Roman" w:hAnsi="Times New Roman" w:cs="Times New Roman"/>
          <w:i/>
          <w:sz w:val="24"/>
          <w:szCs w:val="24"/>
        </w:rPr>
        <w:t xml:space="preserve"> финансирования. </w:t>
      </w:r>
    </w:p>
    <w:p w:rsidR="00CB4978" w:rsidRDefault="00CB4978" w:rsidP="00CB497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17128C" w:rsidRDefault="0017128C" w:rsidP="00CB497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17128C" w:rsidRDefault="0017128C" w:rsidP="00CB497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17128C" w:rsidRDefault="0017128C" w:rsidP="00CB497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17128C" w:rsidRDefault="0017128C" w:rsidP="00CB497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17128C" w:rsidRDefault="0017128C" w:rsidP="00CB497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C70EF5" w:rsidRDefault="00C70EF5" w:rsidP="00CB4978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szCs w:val="24"/>
        </w:rPr>
      </w:pPr>
    </w:p>
    <w:p w:rsidR="00C70EF5" w:rsidRDefault="00C70EF5" w:rsidP="00CB4978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szCs w:val="24"/>
        </w:rPr>
      </w:pPr>
    </w:p>
    <w:p w:rsidR="00711880" w:rsidRDefault="00711880" w:rsidP="00CB4978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szCs w:val="24"/>
        </w:rPr>
      </w:pPr>
    </w:p>
    <w:p w:rsidR="00C86F82" w:rsidRDefault="00C86F82" w:rsidP="00CB4978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szCs w:val="24"/>
        </w:rPr>
      </w:pPr>
      <w:r w:rsidRPr="00C86F82">
        <w:rPr>
          <w:rFonts w:ascii="Times New Roman" w:hAnsi="Times New Roman" w:cs="Times New Roman"/>
          <w:i/>
          <w:szCs w:val="24"/>
        </w:rPr>
        <w:lastRenderedPageBreak/>
        <w:t>Таблица №5. Долговая нагрузка 202</w:t>
      </w:r>
      <w:r w:rsidR="0017128C">
        <w:rPr>
          <w:rFonts w:ascii="Times New Roman" w:hAnsi="Times New Roman" w:cs="Times New Roman"/>
          <w:i/>
          <w:szCs w:val="24"/>
        </w:rPr>
        <w:t>1</w:t>
      </w:r>
      <w:r w:rsidRPr="00C86F82">
        <w:rPr>
          <w:rFonts w:ascii="Times New Roman" w:hAnsi="Times New Roman" w:cs="Times New Roman"/>
          <w:i/>
          <w:szCs w:val="24"/>
        </w:rPr>
        <w:t>-202</w:t>
      </w:r>
      <w:r w:rsidR="0017128C">
        <w:rPr>
          <w:rFonts w:ascii="Times New Roman" w:hAnsi="Times New Roman" w:cs="Times New Roman"/>
          <w:i/>
          <w:szCs w:val="24"/>
        </w:rPr>
        <w:t>2</w:t>
      </w:r>
      <w:r w:rsidRPr="00C86F82">
        <w:rPr>
          <w:rFonts w:ascii="Times New Roman" w:hAnsi="Times New Roman" w:cs="Times New Roman"/>
          <w:i/>
          <w:szCs w:val="24"/>
        </w:rPr>
        <w:t xml:space="preserve"> гг. (</w:t>
      </w:r>
      <w:proofErr w:type="spellStart"/>
      <w:proofErr w:type="gramStart"/>
      <w:r w:rsidR="00E71564">
        <w:rPr>
          <w:rFonts w:ascii="Times New Roman" w:hAnsi="Times New Roman" w:cs="Times New Roman"/>
          <w:i/>
          <w:szCs w:val="24"/>
        </w:rPr>
        <w:t>тыс</w:t>
      </w:r>
      <w:proofErr w:type="spellEnd"/>
      <w:proofErr w:type="gramEnd"/>
      <w:r w:rsidRPr="00C86F82">
        <w:rPr>
          <w:rFonts w:ascii="Times New Roman" w:hAnsi="Times New Roman" w:cs="Times New Roman"/>
          <w:i/>
          <w:szCs w:val="24"/>
        </w:rPr>
        <w:t xml:space="preserve">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0"/>
        <w:gridCol w:w="1418"/>
        <w:gridCol w:w="1418"/>
        <w:gridCol w:w="1416"/>
      </w:tblGrid>
      <w:tr w:rsidR="0017128C" w:rsidRPr="0017128C" w:rsidTr="0017128C">
        <w:trPr>
          <w:trHeight w:val="525"/>
        </w:trPr>
        <w:tc>
          <w:tcPr>
            <w:tcW w:w="26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2022-2021</w:t>
            </w:r>
          </w:p>
        </w:tc>
      </w:tr>
      <w:tr w:rsidR="0017128C" w:rsidRPr="0017128C" w:rsidTr="0017128C">
        <w:trPr>
          <w:trHeight w:val="300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8C" w:rsidRPr="0017128C" w:rsidRDefault="0017128C" w:rsidP="001712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8C" w:rsidRPr="0017128C" w:rsidRDefault="0017128C" w:rsidP="001712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8C" w:rsidRPr="0017128C" w:rsidRDefault="0017128C" w:rsidP="001712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8C" w:rsidRPr="0017128C" w:rsidRDefault="0017128C" w:rsidP="001712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28C" w:rsidRPr="0017128C" w:rsidTr="0017128C">
        <w:trPr>
          <w:trHeight w:val="276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ind w:firstLineChars="100" w:firstLine="16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Чистая прибыль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289 273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-333 641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622 914</w:t>
            </w:r>
          </w:p>
        </w:tc>
      </w:tr>
      <w:tr w:rsidR="0017128C" w:rsidRPr="0017128C" w:rsidTr="0017128C">
        <w:trPr>
          <w:trHeight w:val="276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+Налог на прибыль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12 090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-271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12 361</w:t>
            </w:r>
          </w:p>
        </w:tc>
      </w:tr>
      <w:tr w:rsidR="0017128C" w:rsidRPr="0017128C" w:rsidTr="0017128C">
        <w:trPr>
          <w:trHeight w:val="276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-Возмещенный налог на прибыль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28C" w:rsidRPr="0017128C" w:rsidTr="0017128C">
        <w:trPr>
          <w:trHeight w:val="276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+Проценты к уплате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1 699 747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1 219 038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480 709</w:t>
            </w:r>
          </w:p>
        </w:tc>
      </w:tr>
      <w:tr w:rsidR="0017128C" w:rsidRPr="0017128C" w:rsidTr="0017128C">
        <w:trPr>
          <w:trHeight w:val="276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-Проценты полученные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59 264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24 605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34 659</w:t>
            </w:r>
          </w:p>
        </w:tc>
      </w:tr>
      <w:tr w:rsidR="0017128C" w:rsidRPr="0017128C" w:rsidTr="0017128C">
        <w:trPr>
          <w:trHeight w:val="276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 xml:space="preserve"> +Амортизация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3 334 090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2 491 517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842 572</w:t>
            </w:r>
          </w:p>
        </w:tc>
      </w:tr>
      <w:tr w:rsidR="0017128C" w:rsidRPr="0017128C" w:rsidTr="0017128C">
        <w:trPr>
          <w:trHeight w:val="276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ind w:firstLineChars="100" w:firstLine="16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EBIT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1 941 846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860 521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1 081 325</w:t>
            </w:r>
          </w:p>
        </w:tc>
      </w:tr>
      <w:tr w:rsidR="0017128C" w:rsidRPr="0017128C" w:rsidTr="0017128C">
        <w:trPr>
          <w:trHeight w:val="276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ind w:firstLineChars="100" w:firstLine="160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EBITDA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5 275 936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3 352 038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1 923 897</w:t>
            </w:r>
          </w:p>
        </w:tc>
      </w:tr>
      <w:tr w:rsidR="0017128C" w:rsidRPr="0017128C" w:rsidTr="0017128C">
        <w:trPr>
          <w:trHeight w:val="276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Долгосрочные заемные обязательства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12 886 384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11 394 355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1 492 029</w:t>
            </w:r>
          </w:p>
        </w:tc>
      </w:tr>
      <w:tr w:rsidR="0017128C" w:rsidRPr="0017128C" w:rsidTr="0017128C">
        <w:trPr>
          <w:trHeight w:val="276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Краткосрочные заемные обязательства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17 828 533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14 590 251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3 238 282</w:t>
            </w:r>
          </w:p>
        </w:tc>
      </w:tr>
      <w:tr w:rsidR="0017128C" w:rsidRPr="0017128C" w:rsidTr="0017128C">
        <w:trPr>
          <w:trHeight w:val="288"/>
        </w:trPr>
        <w:tc>
          <w:tcPr>
            <w:tcW w:w="262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обязательства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30 714 917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25 984 606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4 730 311</w:t>
            </w:r>
          </w:p>
        </w:tc>
      </w:tr>
      <w:tr w:rsidR="0017128C" w:rsidRPr="0017128C" w:rsidTr="0017128C">
        <w:trPr>
          <w:trHeight w:val="300"/>
        </w:trPr>
        <w:tc>
          <w:tcPr>
            <w:tcW w:w="26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DEBT / EBITDA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-1,9</w:t>
            </w:r>
          </w:p>
        </w:tc>
      </w:tr>
      <w:tr w:rsidR="0017128C" w:rsidRPr="0017128C" w:rsidTr="0017128C">
        <w:trPr>
          <w:trHeight w:val="300"/>
        </w:trPr>
        <w:tc>
          <w:tcPr>
            <w:tcW w:w="262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Денежные средства и их эквиваленты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1 156 766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144 954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1 011 812</w:t>
            </w:r>
          </w:p>
        </w:tc>
      </w:tr>
      <w:tr w:rsidR="0017128C" w:rsidRPr="0017128C" w:rsidTr="0017128C">
        <w:trPr>
          <w:trHeight w:val="300"/>
        </w:trPr>
        <w:tc>
          <w:tcPr>
            <w:tcW w:w="26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Чистый долг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29 558 151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25 839 652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3 718 499,0</w:t>
            </w:r>
          </w:p>
        </w:tc>
      </w:tr>
      <w:tr w:rsidR="0017128C" w:rsidRPr="0017128C" w:rsidTr="0017128C">
        <w:trPr>
          <w:trHeight w:val="288"/>
        </w:trPr>
        <w:tc>
          <w:tcPr>
            <w:tcW w:w="2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7 437 116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6 403 669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1 033 447</w:t>
            </w:r>
          </w:p>
        </w:tc>
      </w:tr>
      <w:tr w:rsidR="0017128C" w:rsidRPr="0017128C" w:rsidTr="0017128C">
        <w:trPr>
          <w:trHeight w:val="288"/>
        </w:trPr>
        <w:tc>
          <w:tcPr>
            <w:tcW w:w="262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Скорректированный ДОЛГ (с вычетом </w:t>
            </w:r>
            <w:proofErr w:type="spellStart"/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бюджетнык</w:t>
            </w:r>
            <w:proofErr w:type="spellEnd"/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кредитов)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23 277 801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19 580 937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3 696 864</w:t>
            </w:r>
          </w:p>
        </w:tc>
      </w:tr>
      <w:tr w:rsidR="0017128C" w:rsidRPr="0017128C" w:rsidTr="0017128C">
        <w:trPr>
          <w:trHeight w:val="300"/>
        </w:trPr>
        <w:tc>
          <w:tcPr>
            <w:tcW w:w="26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DEBT / EBITDA (с вычетом бюджетных кредитов)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28C" w:rsidRPr="0017128C" w:rsidRDefault="0017128C" w:rsidP="001712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2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-1,4</w:t>
            </w:r>
          </w:p>
        </w:tc>
      </w:tr>
    </w:tbl>
    <w:p w:rsidR="00D0159B" w:rsidRPr="00876CFE" w:rsidRDefault="00C86F82" w:rsidP="00876CFE">
      <w:pPr>
        <w:spacing w:after="0" w:line="240" w:lineRule="auto"/>
        <w:ind w:firstLineChars="100" w:firstLine="161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876CF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ab/>
      </w:r>
    </w:p>
    <w:p w:rsidR="00C86F82" w:rsidRPr="00C86F82" w:rsidRDefault="00D0159B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6F82" w:rsidRPr="00C86F82">
        <w:rPr>
          <w:rFonts w:ascii="Times New Roman" w:hAnsi="Times New Roman" w:cs="Times New Roman"/>
          <w:i/>
          <w:sz w:val="24"/>
          <w:szCs w:val="24"/>
        </w:rPr>
        <w:t>Соотношение скорректированного показателя чистый долг/</w:t>
      </w:r>
      <w:r w:rsidR="00C86F82" w:rsidRPr="00C86F82">
        <w:rPr>
          <w:rFonts w:ascii="Times New Roman" w:hAnsi="Times New Roman" w:cs="Times New Roman"/>
          <w:i/>
          <w:sz w:val="24"/>
          <w:szCs w:val="24"/>
          <w:lang w:val="en-US"/>
        </w:rPr>
        <w:t>EBITDA</w:t>
      </w:r>
      <w:r w:rsidR="00C86F82" w:rsidRPr="00C86F82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2D3400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C86F82" w:rsidRPr="00C86F82">
        <w:rPr>
          <w:rFonts w:ascii="Times New Roman" w:hAnsi="Times New Roman" w:cs="Times New Roman"/>
          <w:i/>
          <w:sz w:val="24"/>
          <w:szCs w:val="24"/>
        </w:rPr>
        <w:t>(</w:t>
      </w:r>
      <w:r w:rsidR="00C86F82" w:rsidRPr="00C86F82">
        <w:rPr>
          <w:rFonts w:ascii="Times New Roman" w:hAnsi="Times New Roman" w:cs="Times New Roman"/>
          <w:i/>
          <w:sz w:val="24"/>
          <w:szCs w:val="24"/>
          <w:lang w:val="en-US"/>
        </w:rPr>
        <w:t>LTM</w:t>
      </w:r>
      <w:r w:rsidR="00C86F82" w:rsidRPr="00C86F82">
        <w:rPr>
          <w:rFonts w:ascii="Times New Roman" w:hAnsi="Times New Roman" w:cs="Times New Roman"/>
          <w:i/>
          <w:sz w:val="24"/>
          <w:szCs w:val="24"/>
        </w:rPr>
        <w:t>) (за вычетом денежных средств на балансе и б</w:t>
      </w:r>
      <w:r w:rsidR="002D3400">
        <w:rPr>
          <w:rFonts w:ascii="Times New Roman" w:hAnsi="Times New Roman" w:cs="Times New Roman"/>
          <w:i/>
          <w:sz w:val="24"/>
          <w:szCs w:val="24"/>
        </w:rPr>
        <w:t>юджетных кредитов) составило 4,</w:t>
      </w:r>
      <w:r w:rsidR="0017128C">
        <w:rPr>
          <w:rFonts w:ascii="Times New Roman" w:hAnsi="Times New Roman" w:cs="Times New Roman"/>
          <w:i/>
          <w:sz w:val="24"/>
          <w:szCs w:val="24"/>
        </w:rPr>
        <w:t>4</w:t>
      </w:r>
      <w:r w:rsidR="00C86F82" w:rsidRPr="00C86F82">
        <w:rPr>
          <w:rFonts w:ascii="Times New Roman" w:hAnsi="Times New Roman" w:cs="Times New Roman"/>
          <w:i/>
          <w:sz w:val="24"/>
          <w:szCs w:val="24"/>
        </w:rPr>
        <w:t xml:space="preserve">х, </w:t>
      </w:r>
      <w:r w:rsidR="002D3400">
        <w:rPr>
          <w:rFonts w:ascii="Times New Roman" w:hAnsi="Times New Roman" w:cs="Times New Roman"/>
          <w:i/>
          <w:sz w:val="24"/>
          <w:szCs w:val="24"/>
        </w:rPr>
        <w:t>против величины в 5,8</w:t>
      </w:r>
      <w:r w:rsidR="00C86F82" w:rsidRPr="00C86F82">
        <w:rPr>
          <w:rFonts w:ascii="Times New Roman" w:hAnsi="Times New Roman" w:cs="Times New Roman"/>
          <w:i/>
          <w:sz w:val="24"/>
          <w:szCs w:val="24"/>
        </w:rPr>
        <w:t>х годом ранее, то есть наблюдается улучшение данного показателя (таблица №</w:t>
      </w:r>
      <w:r w:rsidR="00C86F82">
        <w:rPr>
          <w:rFonts w:ascii="Times New Roman" w:hAnsi="Times New Roman" w:cs="Times New Roman"/>
          <w:i/>
          <w:sz w:val="24"/>
          <w:szCs w:val="24"/>
        </w:rPr>
        <w:t>5</w:t>
      </w:r>
      <w:r w:rsidR="00C86F82" w:rsidRPr="00C86F82">
        <w:rPr>
          <w:rFonts w:ascii="Times New Roman" w:hAnsi="Times New Roman" w:cs="Times New Roman"/>
          <w:i/>
          <w:sz w:val="24"/>
          <w:szCs w:val="24"/>
        </w:rPr>
        <w:t>).</w:t>
      </w:r>
    </w:p>
    <w:p w:rsidR="00C86F82" w:rsidRPr="00C86F82" w:rsidRDefault="00C86F82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F82">
        <w:rPr>
          <w:rFonts w:ascii="Times New Roman" w:hAnsi="Times New Roman" w:cs="Times New Roman"/>
          <w:i/>
          <w:sz w:val="24"/>
          <w:szCs w:val="24"/>
        </w:rPr>
        <w:tab/>
      </w:r>
      <w:r w:rsidRPr="00C86F82">
        <w:rPr>
          <w:rFonts w:ascii="Times New Roman" w:hAnsi="Times New Roman" w:cs="Times New Roman"/>
          <w:i/>
          <w:sz w:val="24"/>
          <w:szCs w:val="24"/>
        </w:rPr>
        <w:tab/>
      </w:r>
      <w:r w:rsidR="00BC6577">
        <w:rPr>
          <w:rFonts w:ascii="Times New Roman" w:hAnsi="Times New Roman" w:cs="Times New Roman"/>
          <w:i/>
          <w:sz w:val="24"/>
          <w:szCs w:val="24"/>
        </w:rPr>
        <w:t>С учетом вышеизложенного можно сделать вывод, что проводимая работа по реструктуризации займов, оптимизации расходов и увеличения доходной базы оказали положительное влияние на улучшение финансово-хозяйственной деятельности предприятия по итогам 202</w:t>
      </w:r>
      <w:r w:rsidR="002D3400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BC6577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C86F82" w:rsidRPr="00CD525E" w:rsidRDefault="00C86F82" w:rsidP="00C86F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6F82" w:rsidRPr="00CD525E" w:rsidSect="00C62363">
      <w:headerReference w:type="first" r:id="rId9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9E312" w16cex:dateUtc="2021-09-01T08:31:00Z"/>
  <w16cex:commentExtensible w16cex:durableId="24D9E37A" w16cex:dateUtc="2021-09-01T08:33:00Z"/>
  <w16cex:commentExtensible w16cex:durableId="24D9E48B" w16cex:dateUtc="2021-09-01T08:37:00Z"/>
  <w16cex:commentExtensible w16cex:durableId="24D9E676" w16cex:dateUtc="2021-09-01T08:39:00Z"/>
  <w16cex:commentExtensible w16cex:durableId="24D9E4E6" w16cex:dateUtc="2021-09-01T08:39:00Z"/>
  <w16cex:commentExtensible w16cex:durableId="24D9E81C" w16cex:dateUtc="2021-09-01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D9263E" w16cid:durableId="24D9E312"/>
  <w16cid:commentId w16cid:paraId="5B9CE4E0" w16cid:durableId="24D9E37A"/>
  <w16cid:commentId w16cid:paraId="2D0542BD" w16cid:durableId="24D9E48B"/>
  <w16cid:commentId w16cid:paraId="3DDE0C93" w16cid:durableId="24D9E676"/>
  <w16cid:commentId w16cid:paraId="0A953AEC" w16cid:durableId="24D9E4E6"/>
  <w16cid:commentId w16cid:paraId="1A022935" w16cid:durableId="24D9E8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5E" w:rsidRDefault="00312E5E" w:rsidP="00DC4B10">
      <w:pPr>
        <w:spacing w:after="0" w:line="240" w:lineRule="auto"/>
      </w:pPr>
      <w:r>
        <w:separator/>
      </w:r>
    </w:p>
  </w:endnote>
  <w:endnote w:type="continuationSeparator" w:id="0">
    <w:p w:rsidR="00312E5E" w:rsidRDefault="00312E5E" w:rsidP="00DC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5E" w:rsidRDefault="00312E5E" w:rsidP="00DC4B10">
      <w:pPr>
        <w:spacing w:after="0" w:line="240" w:lineRule="auto"/>
      </w:pPr>
      <w:r>
        <w:separator/>
      </w:r>
    </w:p>
  </w:footnote>
  <w:footnote w:type="continuationSeparator" w:id="0">
    <w:p w:rsidR="00312E5E" w:rsidRDefault="00312E5E" w:rsidP="00DC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59" w:rsidRDefault="00F73F59" w:rsidP="00240D64">
    <w:pPr>
      <w:pStyle w:val="a8"/>
      <w:jc w:val="center"/>
    </w:pPr>
    <w:r>
      <w:rPr>
        <w:noProof/>
        <w:lang w:eastAsia="ru-RU"/>
      </w:rPr>
      <w:drawing>
        <wp:inline distT="0" distB="0" distL="0" distR="0" wp14:anchorId="49F133DA" wp14:editId="455F1EEB">
          <wp:extent cx="1529080" cy="1150620"/>
          <wp:effectExtent l="0" t="0" r="0" b="0"/>
          <wp:docPr id="2" name="Рисунок 2" descr="https://jkhsakha.ru/assets/img/logo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jkhsakha.ru/assets/img/logo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E4"/>
    <w:multiLevelType w:val="hybridMultilevel"/>
    <w:tmpl w:val="02DADC96"/>
    <w:lvl w:ilvl="0" w:tplc="CA6AD2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66EFF"/>
    <w:multiLevelType w:val="hybridMultilevel"/>
    <w:tmpl w:val="0E4E2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C362E"/>
    <w:multiLevelType w:val="hybridMultilevel"/>
    <w:tmpl w:val="F80A4C8C"/>
    <w:lvl w:ilvl="0" w:tplc="2AD2351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E7376"/>
    <w:multiLevelType w:val="hybridMultilevel"/>
    <w:tmpl w:val="776E1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B39E7"/>
    <w:multiLevelType w:val="hybridMultilevel"/>
    <w:tmpl w:val="47ACF0C8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2E6E7FBB"/>
    <w:multiLevelType w:val="hybridMultilevel"/>
    <w:tmpl w:val="304C3482"/>
    <w:lvl w:ilvl="0" w:tplc="12CEE52A">
      <w:start w:val="1"/>
      <w:numFmt w:val="decimal"/>
      <w:lvlText w:val="%1)"/>
      <w:lvlJc w:val="left"/>
      <w:pPr>
        <w:ind w:left="1729" w:hanging="102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6"/>
    <w:rsid w:val="00000A02"/>
    <w:rsid w:val="0001210C"/>
    <w:rsid w:val="000159E3"/>
    <w:rsid w:val="00041F9C"/>
    <w:rsid w:val="00061701"/>
    <w:rsid w:val="00062000"/>
    <w:rsid w:val="00070B9B"/>
    <w:rsid w:val="0008591D"/>
    <w:rsid w:val="000861D8"/>
    <w:rsid w:val="00093909"/>
    <w:rsid w:val="000A6908"/>
    <w:rsid w:val="000B3C48"/>
    <w:rsid w:val="000B4A42"/>
    <w:rsid w:val="000D0618"/>
    <w:rsid w:val="000D6D3F"/>
    <w:rsid w:val="000E71C4"/>
    <w:rsid w:val="000F17E8"/>
    <w:rsid w:val="00101DFA"/>
    <w:rsid w:val="001120C8"/>
    <w:rsid w:val="0012281C"/>
    <w:rsid w:val="00125ECC"/>
    <w:rsid w:val="001351DB"/>
    <w:rsid w:val="00135749"/>
    <w:rsid w:val="0014532F"/>
    <w:rsid w:val="00161120"/>
    <w:rsid w:val="0017128C"/>
    <w:rsid w:val="0019274C"/>
    <w:rsid w:val="00193AA4"/>
    <w:rsid w:val="001C07D4"/>
    <w:rsid w:val="001C4033"/>
    <w:rsid w:val="001D04B0"/>
    <w:rsid w:val="001D1217"/>
    <w:rsid w:val="001D1249"/>
    <w:rsid w:val="001F20F6"/>
    <w:rsid w:val="001F3064"/>
    <w:rsid w:val="00200B44"/>
    <w:rsid w:val="002031DA"/>
    <w:rsid w:val="002057D4"/>
    <w:rsid w:val="00206771"/>
    <w:rsid w:val="00214520"/>
    <w:rsid w:val="002170E7"/>
    <w:rsid w:val="00217DC5"/>
    <w:rsid w:val="00233E55"/>
    <w:rsid w:val="00237DCC"/>
    <w:rsid w:val="002406D0"/>
    <w:rsid w:val="00240D64"/>
    <w:rsid w:val="00251B90"/>
    <w:rsid w:val="00281A6B"/>
    <w:rsid w:val="002823A4"/>
    <w:rsid w:val="00283006"/>
    <w:rsid w:val="00284011"/>
    <w:rsid w:val="002C2217"/>
    <w:rsid w:val="002C57F6"/>
    <w:rsid w:val="002D3400"/>
    <w:rsid w:val="00310E3D"/>
    <w:rsid w:val="00312E5E"/>
    <w:rsid w:val="00317688"/>
    <w:rsid w:val="003734D6"/>
    <w:rsid w:val="003837C9"/>
    <w:rsid w:val="003943F7"/>
    <w:rsid w:val="003A45FA"/>
    <w:rsid w:val="003A6888"/>
    <w:rsid w:val="003A7CE7"/>
    <w:rsid w:val="003B7708"/>
    <w:rsid w:val="003D0530"/>
    <w:rsid w:val="003E0B12"/>
    <w:rsid w:val="003F4659"/>
    <w:rsid w:val="00405F6A"/>
    <w:rsid w:val="00414DF9"/>
    <w:rsid w:val="00426C2F"/>
    <w:rsid w:val="004317C6"/>
    <w:rsid w:val="00433029"/>
    <w:rsid w:val="00442C86"/>
    <w:rsid w:val="00463651"/>
    <w:rsid w:val="0046370C"/>
    <w:rsid w:val="00474335"/>
    <w:rsid w:val="00475B5F"/>
    <w:rsid w:val="004773D4"/>
    <w:rsid w:val="00484DAE"/>
    <w:rsid w:val="004875B0"/>
    <w:rsid w:val="004946E3"/>
    <w:rsid w:val="00494AB0"/>
    <w:rsid w:val="004A13C1"/>
    <w:rsid w:val="004A6C9E"/>
    <w:rsid w:val="004B2EDE"/>
    <w:rsid w:val="004D4D27"/>
    <w:rsid w:val="004D67EA"/>
    <w:rsid w:val="004F10EA"/>
    <w:rsid w:val="00524C84"/>
    <w:rsid w:val="00535AD8"/>
    <w:rsid w:val="005433EB"/>
    <w:rsid w:val="00551176"/>
    <w:rsid w:val="00565E9E"/>
    <w:rsid w:val="00573AF9"/>
    <w:rsid w:val="00582C4F"/>
    <w:rsid w:val="00583A50"/>
    <w:rsid w:val="00590C2B"/>
    <w:rsid w:val="005A0CA5"/>
    <w:rsid w:val="005A2752"/>
    <w:rsid w:val="005C055A"/>
    <w:rsid w:val="005D08A5"/>
    <w:rsid w:val="005D32BD"/>
    <w:rsid w:val="005D36A6"/>
    <w:rsid w:val="005F00C1"/>
    <w:rsid w:val="006027D8"/>
    <w:rsid w:val="006070D9"/>
    <w:rsid w:val="0062280F"/>
    <w:rsid w:val="006234E9"/>
    <w:rsid w:val="00627FD2"/>
    <w:rsid w:val="00631D93"/>
    <w:rsid w:val="006543E5"/>
    <w:rsid w:val="00662ED0"/>
    <w:rsid w:val="00666778"/>
    <w:rsid w:val="00687539"/>
    <w:rsid w:val="00695C7B"/>
    <w:rsid w:val="006A61E2"/>
    <w:rsid w:val="006B3283"/>
    <w:rsid w:val="006B7BD6"/>
    <w:rsid w:val="006C2C6C"/>
    <w:rsid w:val="006C30FA"/>
    <w:rsid w:val="006D0F96"/>
    <w:rsid w:val="00711880"/>
    <w:rsid w:val="00711BB8"/>
    <w:rsid w:val="00712BB8"/>
    <w:rsid w:val="0072029E"/>
    <w:rsid w:val="00750BA9"/>
    <w:rsid w:val="00767F44"/>
    <w:rsid w:val="0077251A"/>
    <w:rsid w:val="007744BB"/>
    <w:rsid w:val="00782926"/>
    <w:rsid w:val="007B768C"/>
    <w:rsid w:val="007B771D"/>
    <w:rsid w:val="007C1F55"/>
    <w:rsid w:val="007C323D"/>
    <w:rsid w:val="007D502D"/>
    <w:rsid w:val="007F71F8"/>
    <w:rsid w:val="00805DEE"/>
    <w:rsid w:val="00831D44"/>
    <w:rsid w:val="00862EC4"/>
    <w:rsid w:val="00870078"/>
    <w:rsid w:val="00876CFE"/>
    <w:rsid w:val="00877FC3"/>
    <w:rsid w:val="00891FC7"/>
    <w:rsid w:val="0089403D"/>
    <w:rsid w:val="0089466B"/>
    <w:rsid w:val="008B67B8"/>
    <w:rsid w:val="008C5E37"/>
    <w:rsid w:val="008C7B0D"/>
    <w:rsid w:val="008E2B30"/>
    <w:rsid w:val="008F1230"/>
    <w:rsid w:val="009122FF"/>
    <w:rsid w:val="00917BB1"/>
    <w:rsid w:val="0092630E"/>
    <w:rsid w:val="009A1C20"/>
    <w:rsid w:val="009A46FE"/>
    <w:rsid w:val="009A6FBD"/>
    <w:rsid w:val="009B2752"/>
    <w:rsid w:val="009B41C5"/>
    <w:rsid w:val="009B6651"/>
    <w:rsid w:val="009C268A"/>
    <w:rsid w:val="009C3486"/>
    <w:rsid w:val="009C4B52"/>
    <w:rsid w:val="009D0635"/>
    <w:rsid w:val="009D5B07"/>
    <w:rsid w:val="009D731E"/>
    <w:rsid w:val="009F073C"/>
    <w:rsid w:val="009F40B7"/>
    <w:rsid w:val="00A0615E"/>
    <w:rsid w:val="00A2194C"/>
    <w:rsid w:val="00A26311"/>
    <w:rsid w:val="00A30018"/>
    <w:rsid w:val="00A307C2"/>
    <w:rsid w:val="00A312A3"/>
    <w:rsid w:val="00A3538F"/>
    <w:rsid w:val="00A379BA"/>
    <w:rsid w:val="00A55D71"/>
    <w:rsid w:val="00A56897"/>
    <w:rsid w:val="00A56C31"/>
    <w:rsid w:val="00A645C9"/>
    <w:rsid w:val="00A82820"/>
    <w:rsid w:val="00AA7593"/>
    <w:rsid w:val="00AC129F"/>
    <w:rsid w:val="00AC52DD"/>
    <w:rsid w:val="00AD1B17"/>
    <w:rsid w:val="00AF187B"/>
    <w:rsid w:val="00B1661C"/>
    <w:rsid w:val="00B41D33"/>
    <w:rsid w:val="00B46AAB"/>
    <w:rsid w:val="00B57D6E"/>
    <w:rsid w:val="00B749AF"/>
    <w:rsid w:val="00B81A98"/>
    <w:rsid w:val="00B914CC"/>
    <w:rsid w:val="00BA522F"/>
    <w:rsid w:val="00BB3707"/>
    <w:rsid w:val="00BC6577"/>
    <w:rsid w:val="00BE1664"/>
    <w:rsid w:val="00BE51E0"/>
    <w:rsid w:val="00BF3F3B"/>
    <w:rsid w:val="00C132DC"/>
    <w:rsid w:val="00C20722"/>
    <w:rsid w:val="00C32F4A"/>
    <w:rsid w:val="00C34E61"/>
    <w:rsid w:val="00C40A10"/>
    <w:rsid w:val="00C4716E"/>
    <w:rsid w:val="00C554E9"/>
    <w:rsid w:val="00C62363"/>
    <w:rsid w:val="00C70EF5"/>
    <w:rsid w:val="00C740AF"/>
    <w:rsid w:val="00C86239"/>
    <w:rsid w:val="00C86F82"/>
    <w:rsid w:val="00C92227"/>
    <w:rsid w:val="00C93247"/>
    <w:rsid w:val="00C93E8A"/>
    <w:rsid w:val="00CA3658"/>
    <w:rsid w:val="00CB4978"/>
    <w:rsid w:val="00CC438F"/>
    <w:rsid w:val="00CD1FC9"/>
    <w:rsid w:val="00CD4342"/>
    <w:rsid w:val="00CD7AF8"/>
    <w:rsid w:val="00CE28EB"/>
    <w:rsid w:val="00CF382C"/>
    <w:rsid w:val="00D0159B"/>
    <w:rsid w:val="00D13176"/>
    <w:rsid w:val="00D26029"/>
    <w:rsid w:val="00D379E9"/>
    <w:rsid w:val="00D44235"/>
    <w:rsid w:val="00D46229"/>
    <w:rsid w:val="00D651A5"/>
    <w:rsid w:val="00D81C62"/>
    <w:rsid w:val="00DA7083"/>
    <w:rsid w:val="00DB1FC8"/>
    <w:rsid w:val="00DB69E3"/>
    <w:rsid w:val="00DC37AF"/>
    <w:rsid w:val="00DC4B10"/>
    <w:rsid w:val="00DC51A7"/>
    <w:rsid w:val="00DF0D93"/>
    <w:rsid w:val="00DF2891"/>
    <w:rsid w:val="00DF2DBA"/>
    <w:rsid w:val="00DF54C1"/>
    <w:rsid w:val="00DF67DD"/>
    <w:rsid w:val="00E31F20"/>
    <w:rsid w:val="00E4463D"/>
    <w:rsid w:val="00E56042"/>
    <w:rsid w:val="00E67C4C"/>
    <w:rsid w:val="00E71564"/>
    <w:rsid w:val="00E8212E"/>
    <w:rsid w:val="00E90161"/>
    <w:rsid w:val="00EA08A0"/>
    <w:rsid w:val="00EA6DB6"/>
    <w:rsid w:val="00EB24D7"/>
    <w:rsid w:val="00EB3414"/>
    <w:rsid w:val="00ED2C0D"/>
    <w:rsid w:val="00EE2D2D"/>
    <w:rsid w:val="00EF0D6D"/>
    <w:rsid w:val="00EF2518"/>
    <w:rsid w:val="00F00D3B"/>
    <w:rsid w:val="00F01AE4"/>
    <w:rsid w:val="00F123E3"/>
    <w:rsid w:val="00F12C4E"/>
    <w:rsid w:val="00F12E0E"/>
    <w:rsid w:val="00F23DCE"/>
    <w:rsid w:val="00F42526"/>
    <w:rsid w:val="00F45770"/>
    <w:rsid w:val="00F70A93"/>
    <w:rsid w:val="00F73F59"/>
    <w:rsid w:val="00F83F39"/>
    <w:rsid w:val="00FB3672"/>
    <w:rsid w:val="00FC5B00"/>
    <w:rsid w:val="00FD483E"/>
    <w:rsid w:val="00FE2FBA"/>
    <w:rsid w:val="00FE491E"/>
    <w:rsid w:val="00FF0FFA"/>
    <w:rsid w:val="00FF2B25"/>
    <w:rsid w:val="00FF4231"/>
    <w:rsid w:val="00FF6FC0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0CA5"/>
    <w:rPr>
      <w:i/>
      <w:iCs/>
    </w:rPr>
  </w:style>
  <w:style w:type="character" w:styleId="a4">
    <w:name w:val="Hyperlink"/>
    <w:basedOn w:val="a0"/>
    <w:uiPriority w:val="99"/>
    <w:unhideWhenUsed/>
    <w:rsid w:val="00C40A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466B"/>
    <w:pPr>
      <w:ind w:left="720"/>
      <w:contextualSpacing/>
    </w:pPr>
  </w:style>
  <w:style w:type="paragraph" w:customStyle="1" w:styleId="Normal1">
    <w:name w:val="Normal1"/>
    <w:rsid w:val="00B9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7E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7EA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B10"/>
  </w:style>
  <w:style w:type="paragraph" w:styleId="aa">
    <w:name w:val="footer"/>
    <w:basedOn w:val="a"/>
    <w:link w:val="ab"/>
    <w:uiPriority w:val="99"/>
    <w:unhideWhenUsed/>
    <w:rsid w:val="00D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B10"/>
  </w:style>
  <w:style w:type="table" w:styleId="ac">
    <w:name w:val="Table Grid"/>
    <w:basedOn w:val="a1"/>
    <w:uiPriority w:val="59"/>
    <w:semiHidden/>
    <w:unhideWhenUsed/>
    <w:rsid w:val="00FF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943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43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43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43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43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0CA5"/>
    <w:rPr>
      <w:i/>
      <w:iCs/>
    </w:rPr>
  </w:style>
  <w:style w:type="character" w:styleId="a4">
    <w:name w:val="Hyperlink"/>
    <w:basedOn w:val="a0"/>
    <w:uiPriority w:val="99"/>
    <w:unhideWhenUsed/>
    <w:rsid w:val="00C40A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466B"/>
    <w:pPr>
      <w:ind w:left="720"/>
      <w:contextualSpacing/>
    </w:pPr>
  </w:style>
  <w:style w:type="paragraph" w:customStyle="1" w:styleId="Normal1">
    <w:name w:val="Normal1"/>
    <w:rsid w:val="00B9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7E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7EA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B10"/>
  </w:style>
  <w:style w:type="paragraph" w:styleId="aa">
    <w:name w:val="footer"/>
    <w:basedOn w:val="a"/>
    <w:link w:val="ab"/>
    <w:uiPriority w:val="99"/>
    <w:unhideWhenUsed/>
    <w:rsid w:val="00D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B10"/>
  </w:style>
  <w:style w:type="table" w:styleId="ac">
    <w:name w:val="Table Grid"/>
    <w:basedOn w:val="a1"/>
    <w:uiPriority w:val="59"/>
    <w:semiHidden/>
    <w:unhideWhenUsed/>
    <w:rsid w:val="00FF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943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43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43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43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43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D51296-701E-4BEF-975F-08399D27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</dc:creator>
  <cp:lastModifiedBy>Пресс-центр</cp:lastModifiedBy>
  <cp:revision>3</cp:revision>
  <cp:lastPrinted>2023-05-10T00:01:00Z</cp:lastPrinted>
  <dcterms:created xsi:type="dcterms:W3CDTF">2023-05-11T00:29:00Z</dcterms:created>
  <dcterms:modified xsi:type="dcterms:W3CDTF">2023-05-11T01:24:00Z</dcterms:modified>
</cp:coreProperties>
</file>